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FD4" w:rsidRDefault="00FF39C6">
      <w:pPr>
        <w:pStyle w:val="Bodytext20"/>
        <w:shd w:val="clear" w:color="auto" w:fill="auto"/>
        <w:ind w:left="20"/>
      </w:pPr>
      <w:r>
        <w:rPr>
          <w:rStyle w:val="Bodytext21"/>
          <w:b/>
          <w:bCs/>
        </w:rPr>
        <w:t>ACTS</w:t>
      </w:r>
    </w:p>
    <w:p w:rsidR="00B53FD4" w:rsidRDefault="00FF39C6">
      <w:pPr>
        <w:pStyle w:val="Bodytext20"/>
        <w:shd w:val="clear" w:color="auto" w:fill="auto"/>
        <w:tabs>
          <w:tab w:val="left" w:pos="5420"/>
        </w:tabs>
        <w:ind w:left="20"/>
      </w:pPr>
      <w:r>
        <w:rPr>
          <w:rStyle w:val="Bodytext21"/>
          <w:b/>
          <w:bCs/>
        </w:rPr>
        <w:t>SUPPLEMENT No. 5</w:t>
      </w:r>
      <w:r>
        <w:rPr>
          <w:rStyle w:val="Bodytext21"/>
          <w:b/>
          <w:bCs/>
        </w:rPr>
        <w:tab/>
        <w:t>7th July, 2008.</w:t>
      </w:r>
    </w:p>
    <w:p w:rsidR="00B53FD4" w:rsidRDefault="00FF39C6">
      <w:pPr>
        <w:pStyle w:val="Bodytext20"/>
        <w:shd w:val="clear" w:color="auto" w:fill="auto"/>
        <w:ind w:left="40"/>
        <w:jc w:val="center"/>
      </w:pPr>
      <w:r>
        <w:rPr>
          <w:rStyle w:val="Bodytext21"/>
          <w:b/>
          <w:bCs/>
        </w:rPr>
        <w:t>ACTS SUPPLEMENT</w:t>
      </w:r>
    </w:p>
    <w:p w:rsidR="00B53FD4" w:rsidRDefault="00FF39C6">
      <w:pPr>
        <w:pStyle w:val="Bodytext30"/>
        <w:shd w:val="clear" w:color="auto" w:fill="auto"/>
        <w:ind w:left="40"/>
      </w:pPr>
      <w:r>
        <w:rPr>
          <w:rStyle w:val="Bodytext31"/>
          <w:i/>
          <w:iCs/>
        </w:rPr>
        <w:t>to The Uganda Gazette No. 35 Volume CI dated 7th July, 2008.</w:t>
      </w:r>
    </w:p>
    <w:p w:rsidR="00B53FD4" w:rsidRDefault="00FF39C6">
      <w:pPr>
        <w:pStyle w:val="Bodytext40"/>
        <w:shd w:val="clear" w:color="auto" w:fill="auto"/>
        <w:spacing w:after="319" w:line="150" w:lineRule="exact"/>
        <w:ind w:right="20"/>
      </w:pPr>
      <w:r>
        <w:rPr>
          <w:rStyle w:val="Bodytext41"/>
        </w:rPr>
        <w:t>Printed by UPPC, Entebbe, by Order of the Government.</w:t>
      </w:r>
    </w:p>
    <w:p w:rsidR="00B53FD4" w:rsidRDefault="00FF39C6">
      <w:pPr>
        <w:pStyle w:val="Bodytext50"/>
        <w:shd w:val="clear" w:color="auto" w:fill="auto"/>
        <w:spacing w:before="0" w:after="953" w:line="230" w:lineRule="exact"/>
        <w:ind w:left="20"/>
      </w:pPr>
      <w:r>
        <w:rPr>
          <w:rStyle w:val="Bodytext5NotItalic"/>
        </w:rPr>
        <w:t xml:space="preserve">Act 8 </w:t>
      </w:r>
      <w:r>
        <w:rPr>
          <w:rStyle w:val="Bodytext51"/>
          <w:i/>
          <w:iCs/>
        </w:rPr>
        <w:t>Local Governments (Amendment) (No. 2) Act</w:t>
      </w:r>
      <w:r>
        <w:rPr>
          <w:rStyle w:val="Bodytext5NotItalic"/>
        </w:rPr>
        <w:t xml:space="preserve"> 2008</w:t>
      </w:r>
    </w:p>
    <w:p w:rsidR="00B53FD4" w:rsidRDefault="00FF39C6">
      <w:pPr>
        <w:pStyle w:val="Bodytext0"/>
        <w:shd w:val="clear" w:color="auto" w:fill="auto"/>
        <w:spacing w:before="0" w:after="58" w:line="230" w:lineRule="exact"/>
        <w:ind w:left="1100"/>
      </w:pPr>
      <w:r>
        <w:rPr>
          <w:rStyle w:val="Bodytext1"/>
        </w:rPr>
        <w:t>THE LOCAL GOVERNMENTS (AMENDMENT)</w:t>
      </w:r>
      <w:r>
        <w:rPr>
          <w:rStyle w:val="Bodytext1"/>
        </w:rPr>
        <w:t xml:space="preserve"> (No. 2)</w:t>
      </w:r>
    </w:p>
    <w:p w:rsidR="00B53FD4" w:rsidRDefault="00FF39C6">
      <w:pPr>
        <w:pStyle w:val="Bodytext0"/>
        <w:shd w:val="clear" w:color="auto" w:fill="auto"/>
        <w:spacing w:before="0" w:after="259" w:line="230" w:lineRule="exact"/>
        <w:ind w:left="40" w:firstLine="0"/>
        <w:jc w:val="center"/>
      </w:pPr>
      <w:r>
        <w:rPr>
          <w:rStyle w:val="Bodytext1"/>
        </w:rPr>
        <w:t>ACT, 2008.</w:t>
      </w:r>
    </w:p>
    <w:p w:rsidR="00B53FD4" w:rsidRDefault="00FF39C6">
      <w:pPr>
        <w:pStyle w:val="Bodytext0"/>
        <w:shd w:val="clear" w:color="auto" w:fill="auto"/>
        <w:spacing w:before="0" w:after="159" w:line="278" w:lineRule="exact"/>
        <w:ind w:left="20" w:right="20" w:firstLine="0"/>
        <w:jc w:val="both"/>
      </w:pPr>
      <w:r>
        <w:rPr>
          <w:rStyle w:val="Bodytext1"/>
        </w:rPr>
        <w:t>An Act to amend the Local Governments Act to provide for additional taxes to be levied, collected and charged by local governments in order to provide new sources of revenue for local governments, and for related purposes.</w:t>
      </w:r>
    </w:p>
    <w:p w:rsidR="00B53FD4" w:rsidRDefault="00FF39C6">
      <w:pPr>
        <w:pStyle w:val="Bodytext0"/>
        <w:shd w:val="clear" w:color="auto" w:fill="auto"/>
        <w:spacing w:before="0" w:after="183" w:line="230" w:lineRule="exact"/>
        <w:ind w:left="20" w:firstLine="0"/>
        <w:jc w:val="both"/>
      </w:pPr>
      <w:r>
        <w:rPr>
          <w:rStyle w:val="BodytextSmallCaps"/>
        </w:rPr>
        <w:t xml:space="preserve">Date of </w:t>
      </w:r>
      <w:r>
        <w:rPr>
          <w:rStyle w:val="BodytextSmallCaps"/>
        </w:rPr>
        <w:t>Assent:</w:t>
      </w:r>
      <w:r>
        <w:rPr>
          <w:rStyle w:val="Bodytext1"/>
        </w:rPr>
        <w:t xml:space="preserve"> 24th June, 2008.</w:t>
      </w:r>
    </w:p>
    <w:p w:rsidR="00B53FD4" w:rsidRDefault="00FF39C6">
      <w:pPr>
        <w:pStyle w:val="Bodytext50"/>
        <w:shd w:val="clear" w:color="auto" w:fill="auto"/>
        <w:spacing w:before="0" w:after="238" w:line="230" w:lineRule="exact"/>
        <w:ind w:left="20"/>
      </w:pPr>
      <w:r>
        <w:rPr>
          <w:rStyle w:val="Bodytext51"/>
          <w:i/>
          <w:iCs/>
        </w:rPr>
        <w:t>Date of Commencement:</w:t>
      </w:r>
      <w:r>
        <w:rPr>
          <w:rStyle w:val="Bodytext5NotItalic"/>
        </w:rPr>
        <w:t xml:space="preserve"> 7th July, 2008.</w:t>
      </w:r>
    </w:p>
    <w:p w:rsidR="00B53FD4" w:rsidRDefault="00FF39C6">
      <w:pPr>
        <w:pStyle w:val="Bodytext0"/>
        <w:shd w:val="clear" w:color="auto" w:fill="auto"/>
        <w:spacing w:before="0" w:after="178" w:line="230" w:lineRule="exact"/>
        <w:ind w:left="20" w:firstLine="0"/>
        <w:jc w:val="both"/>
      </w:pPr>
      <w:r>
        <w:rPr>
          <w:rStyle w:val="BodytextSmallCaps"/>
        </w:rPr>
        <w:t>Be it enacted</w:t>
      </w:r>
      <w:r>
        <w:rPr>
          <w:rStyle w:val="Bodytext1"/>
        </w:rPr>
        <w:t xml:space="preserve"> by Parliament as follows—</w:t>
      </w:r>
    </w:p>
    <w:p w:rsidR="00B53FD4" w:rsidRDefault="00FF39C6">
      <w:pPr>
        <w:pStyle w:val="Bodytext0"/>
        <w:numPr>
          <w:ilvl w:val="0"/>
          <w:numId w:val="1"/>
        </w:numPr>
        <w:shd w:val="clear" w:color="auto" w:fill="auto"/>
        <w:tabs>
          <w:tab w:val="left" w:pos="486"/>
        </w:tabs>
        <w:spacing w:before="0" w:after="21" w:line="230" w:lineRule="exact"/>
        <w:ind w:left="20" w:firstLine="0"/>
        <w:jc w:val="both"/>
      </w:pPr>
      <w:r>
        <w:rPr>
          <w:rStyle w:val="Bodytext1"/>
        </w:rPr>
        <w:t>Amendment of section 80 of the Local Governments Act</w:t>
      </w:r>
    </w:p>
    <w:p w:rsidR="00B53FD4" w:rsidRDefault="00FF39C6">
      <w:pPr>
        <w:pStyle w:val="Bodytext0"/>
        <w:shd w:val="clear" w:color="auto" w:fill="auto"/>
        <w:spacing w:before="0" w:after="124" w:line="283" w:lineRule="exact"/>
        <w:ind w:left="20" w:right="20" w:firstLine="0"/>
        <w:jc w:val="both"/>
      </w:pPr>
      <w:r>
        <w:rPr>
          <w:rStyle w:val="Bodytext1"/>
        </w:rPr>
        <w:t>Section 80 of the Local Governments Act, in this Act referred to as the principal Act, is amended by</w:t>
      </w:r>
      <w:r>
        <w:rPr>
          <w:rStyle w:val="Bodytext1"/>
        </w:rPr>
        <w:t xml:space="preserve"> inserting immediately after subsection (1) the following—</w:t>
      </w:r>
    </w:p>
    <w:p w:rsidR="00B53FD4" w:rsidRDefault="00FF39C6">
      <w:pPr>
        <w:pStyle w:val="Bodytext0"/>
        <w:shd w:val="clear" w:color="auto" w:fill="auto"/>
        <w:spacing w:before="0" w:line="278" w:lineRule="exact"/>
        <w:ind w:left="1100" w:right="20"/>
      </w:pPr>
      <w:r>
        <w:rPr>
          <w:rStyle w:val="Bodytext1"/>
        </w:rPr>
        <w:t>“(1a) The taxes that local governments may levy, charge and collect shall include the following—</w:t>
      </w:r>
    </w:p>
    <w:p w:rsidR="00B53FD4" w:rsidRDefault="00FF39C6">
      <w:pPr>
        <w:pStyle w:val="Bodytext0"/>
        <w:numPr>
          <w:ilvl w:val="0"/>
          <w:numId w:val="2"/>
        </w:numPr>
        <w:shd w:val="clear" w:color="auto" w:fill="auto"/>
        <w:tabs>
          <w:tab w:val="left" w:pos="341"/>
        </w:tabs>
        <w:spacing w:before="0" w:after="0" w:line="278" w:lineRule="exact"/>
        <w:ind w:right="20" w:firstLine="0"/>
        <w:jc w:val="right"/>
      </w:pPr>
      <w:r>
        <w:rPr>
          <w:rStyle w:val="Bodytext1"/>
        </w:rPr>
        <w:t>local government hotel tax to be charged on all hotel</w:t>
      </w:r>
    </w:p>
    <w:p w:rsidR="00B53FD4" w:rsidRDefault="00FF39C6">
      <w:pPr>
        <w:pStyle w:val="Bodytext0"/>
        <w:shd w:val="clear" w:color="auto" w:fill="auto"/>
        <w:spacing w:before="0" w:line="278" w:lineRule="exact"/>
        <w:ind w:left="1700" w:right="20" w:firstLine="0"/>
        <w:jc w:val="both"/>
      </w:pPr>
      <w:r>
        <w:rPr>
          <w:rStyle w:val="Bodytext1"/>
        </w:rPr>
        <w:t xml:space="preserve">and lodge room occupants and to be collected </w:t>
      </w:r>
      <w:r>
        <w:rPr>
          <w:rStyle w:val="Bodytext1"/>
        </w:rPr>
        <w:t>and paid by hotel owners; and</w:t>
      </w:r>
    </w:p>
    <w:p w:rsidR="00B53FD4" w:rsidRDefault="00FF39C6">
      <w:pPr>
        <w:pStyle w:val="Bodytext0"/>
        <w:numPr>
          <w:ilvl w:val="0"/>
          <w:numId w:val="2"/>
        </w:numPr>
        <w:shd w:val="clear" w:color="auto" w:fill="auto"/>
        <w:tabs>
          <w:tab w:val="left" w:pos="346"/>
        </w:tabs>
        <w:spacing w:before="0" w:after="0" w:line="278" w:lineRule="exact"/>
        <w:ind w:right="20" w:firstLine="0"/>
        <w:jc w:val="right"/>
      </w:pPr>
      <w:r>
        <w:rPr>
          <w:rStyle w:val="Bodytext1"/>
        </w:rPr>
        <w:t>local service tax to be levied on all persons in gainful</w:t>
      </w:r>
    </w:p>
    <w:p w:rsidR="00B53FD4" w:rsidRDefault="00FF39C6">
      <w:pPr>
        <w:pStyle w:val="Bodytext0"/>
        <w:shd w:val="clear" w:color="auto" w:fill="auto"/>
        <w:spacing w:before="0" w:after="0" w:line="278" w:lineRule="exact"/>
        <w:ind w:left="1700" w:right="20" w:firstLine="0"/>
        <w:jc w:val="both"/>
      </w:pPr>
      <w:r>
        <w:rPr>
          <w:rStyle w:val="Bodytext1"/>
        </w:rPr>
        <w:t>employment or who are practising any profession or on business persons and commercial farmers producing on a large scale.</w:t>
      </w:r>
    </w:p>
    <w:p w:rsidR="00B53FD4" w:rsidRDefault="00FF39C6">
      <w:pPr>
        <w:pStyle w:val="Bodytext50"/>
        <w:shd w:val="clear" w:color="auto" w:fill="auto"/>
        <w:spacing w:before="0" w:after="144" w:line="230" w:lineRule="exact"/>
        <w:ind w:right="40"/>
        <w:jc w:val="center"/>
      </w:pPr>
      <w:r>
        <w:rPr>
          <w:rStyle w:val="Bodytext5NotItalic"/>
        </w:rPr>
        <w:t xml:space="preserve">Act 8 </w:t>
      </w:r>
      <w:r>
        <w:rPr>
          <w:rStyle w:val="Bodytext51"/>
          <w:i/>
          <w:iCs/>
        </w:rPr>
        <w:t>Local Governments (Amendment) (No. 2) Act</w:t>
      </w:r>
      <w:r>
        <w:rPr>
          <w:rStyle w:val="Bodytext5NotItalic"/>
        </w:rPr>
        <w:t xml:space="preserve"> 2008</w:t>
      </w:r>
    </w:p>
    <w:p w:rsidR="00B53FD4" w:rsidRDefault="00FF39C6">
      <w:pPr>
        <w:pStyle w:val="Bodytext0"/>
        <w:shd w:val="clear" w:color="auto" w:fill="auto"/>
        <w:spacing w:before="0" w:after="240" w:line="278" w:lineRule="exact"/>
        <w:ind w:left="1080" w:right="40" w:hanging="600"/>
        <w:jc w:val="both"/>
      </w:pPr>
      <w:r>
        <w:rPr>
          <w:rStyle w:val="Bodytext1"/>
        </w:rPr>
        <w:t xml:space="preserve">(1b) The local government hotel tax shall be collected by the </w:t>
      </w:r>
      <w:r>
        <w:rPr>
          <w:rStyle w:val="Bodytext1"/>
        </w:rPr>
        <w:lastRenderedPageBreak/>
        <w:t>management of the hotels or lodges who shall remit the tax to the relevant local governments.</w:t>
      </w:r>
    </w:p>
    <w:p w:rsidR="00B53FD4" w:rsidRDefault="00FF39C6">
      <w:pPr>
        <w:pStyle w:val="Bodytext0"/>
        <w:shd w:val="clear" w:color="auto" w:fill="auto"/>
        <w:spacing w:before="0" w:after="236" w:line="278" w:lineRule="exact"/>
        <w:ind w:left="1080" w:right="40" w:hanging="600"/>
        <w:jc w:val="both"/>
      </w:pPr>
      <w:r>
        <w:rPr>
          <w:rStyle w:val="Bodytext1"/>
        </w:rPr>
        <w:t xml:space="preserve">(1c) The local service tax shall be spent on basic local services such as sanitation, </w:t>
      </w:r>
      <w:r>
        <w:rPr>
          <w:rStyle w:val="Bodytext1"/>
        </w:rPr>
        <w:t>education, health, construction and maintenance of roads in the area of jurisdiction of the local government.</w:t>
      </w:r>
    </w:p>
    <w:p w:rsidR="00B53FD4" w:rsidRDefault="00FF39C6">
      <w:pPr>
        <w:pStyle w:val="Bodytext0"/>
        <w:shd w:val="clear" w:color="auto" w:fill="auto"/>
        <w:spacing w:before="0" w:after="244" w:line="283" w:lineRule="exact"/>
        <w:ind w:left="1080" w:right="40" w:hanging="600"/>
        <w:jc w:val="both"/>
      </w:pPr>
      <w:r>
        <w:rPr>
          <w:rStyle w:val="Bodytext1"/>
        </w:rPr>
        <w:t>(1d) The Fifth Schedule shall apply to the taxes imposed under subsection 1(a).”</w:t>
      </w:r>
    </w:p>
    <w:p w:rsidR="00B53FD4" w:rsidRDefault="00FF39C6">
      <w:pPr>
        <w:pStyle w:val="Heading10"/>
        <w:keepNext/>
        <w:keepLines/>
        <w:numPr>
          <w:ilvl w:val="0"/>
          <w:numId w:val="1"/>
        </w:numPr>
        <w:shd w:val="clear" w:color="auto" w:fill="auto"/>
        <w:tabs>
          <w:tab w:val="left" w:pos="495"/>
        </w:tabs>
        <w:spacing w:before="0"/>
        <w:ind w:left="20" w:firstLine="0"/>
      </w:pPr>
      <w:bookmarkStart w:id="0" w:name="bookmark0"/>
      <w:r>
        <w:rPr>
          <w:rStyle w:val="Heading11"/>
        </w:rPr>
        <w:t>Amendment of Fifth Schedule to principal Act.</w:t>
      </w:r>
      <w:bookmarkEnd w:id="0"/>
    </w:p>
    <w:p w:rsidR="00B53FD4" w:rsidRDefault="00FF39C6">
      <w:pPr>
        <w:pStyle w:val="Bodytext0"/>
        <w:shd w:val="clear" w:color="auto" w:fill="auto"/>
        <w:spacing w:before="0" w:after="0" w:line="278" w:lineRule="exact"/>
        <w:ind w:right="40" w:firstLine="0"/>
        <w:jc w:val="center"/>
      </w:pPr>
      <w:r>
        <w:rPr>
          <w:rStyle w:val="Bodytext1"/>
        </w:rPr>
        <w:t xml:space="preserve">The Fifth Schedule </w:t>
      </w:r>
      <w:r>
        <w:rPr>
          <w:rStyle w:val="Bodytext1"/>
        </w:rPr>
        <w:t>to the principal Act is amended by inserting</w:t>
      </w:r>
    </w:p>
    <w:p w:rsidR="00B53FD4" w:rsidRDefault="00FF39C6">
      <w:pPr>
        <w:pStyle w:val="Bodytext0"/>
        <w:shd w:val="clear" w:color="auto" w:fill="auto"/>
        <w:spacing w:before="0" w:after="279" w:line="278" w:lineRule="exact"/>
        <w:ind w:left="20" w:firstLine="0"/>
        <w:jc w:val="both"/>
      </w:pPr>
      <w:r>
        <w:rPr>
          <w:rStyle w:val="Bodytext1"/>
        </w:rPr>
        <w:t>immediately after Part I of that Schedule the following—</w:t>
      </w:r>
    </w:p>
    <w:p w:rsidR="00B53FD4" w:rsidRDefault="00FF39C6">
      <w:pPr>
        <w:pStyle w:val="Bodytext0"/>
        <w:shd w:val="clear" w:color="auto" w:fill="auto"/>
        <w:spacing w:before="0" w:after="413" w:line="230" w:lineRule="exact"/>
        <w:ind w:right="40" w:firstLine="0"/>
        <w:jc w:val="center"/>
      </w:pPr>
      <w:r>
        <w:rPr>
          <w:rStyle w:val="BodytextSmallCaps"/>
        </w:rPr>
        <w:t>“Part II</w:t>
      </w:r>
    </w:p>
    <w:p w:rsidR="00B53FD4" w:rsidRDefault="00FF39C6">
      <w:pPr>
        <w:pStyle w:val="Bodytext0"/>
        <w:shd w:val="clear" w:color="auto" w:fill="auto"/>
        <w:spacing w:before="0" w:after="371" w:line="230" w:lineRule="exact"/>
        <w:ind w:right="40" w:firstLine="0"/>
        <w:jc w:val="center"/>
      </w:pPr>
      <w:r>
        <w:rPr>
          <w:rStyle w:val="BodytextSmallCaps"/>
        </w:rPr>
        <w:t>Rates for the Local Government Hotel Tax and Local Service Tax</w:t>
      </w:r>
    </w:p>
    <w:p w:rsidR="00B53FD4" w:rsidRDefault="00FF39C6">
      <w:pPr>
        <w:pStyle w:val="Heading10"/>
        <w:keepNext/>
        <w:keepLines/>
        <w:numPr>
          <w:ilvl w:val="0"/>
          <w:numId w:val="3"/>
        </w:numPr>
        <w:shd w:val="clear" w:color="auto" w:fill="auto"/>
        <w:tabs>
          <w:tab w:val="left" w:pos="490"/>
        </w:tabs>
        <w:spacing w:before="0" w:line="283" w:lineRule="exact"/>
        <w:ind w:left="20" w:firstLine="0"/>
      </w:pPr>
      <w:bookmarkStart w:id="1" w:name="bookmark1"/>
      <w:r>
        <w:rPr>
          <w:rStyle w:val="Heading11"/>
        </w:rPr>
        <w:t>Rates of local government hotel tax.</w:t>
      </w:r>
      <w:bookmarkEnd w:id="1"/>
    </w:p>
    <w:p w:rsidR="00B53FD4" w:rsidRDefault="00FF39C6">
      <w:pPr>
        <w:pStyle w:val="Bodytext0"/>
        <w:shd w:val="clear" w:color="auto" w:fill="auto"/>
        <w:spacing w:before="0" w:after="183" w:line="283" w:lineRule="exact"/>
        <w:ind w:left="20" w:right="40" w:firstLine="0"/>
        <w:jc w:val="both"/>
      </w:pPr>
      <w:r>
        <w:rPr>
          <w:rStyle w:val="Bodytext1"/>
        </w:rPr>
        <w:t xml:space="preserve">The local government hotel tax shall be </w:t>
      </w:r>
      <w:r>
        <w:rPr>
          <w:rStyle w:val="Bodytext1"/>
        </w:rPr>
        <w:t>levied on the room occupants as follows—</w:t>
      </w:r>
    </w:p>
    <w:tbl>
      <w:tblPr>
        <w:tblOverlap w:val="never"/>
        <w:tblW w:w="0" w:type="auto"/>
        <w:jc w:val="center"/>
        <w:tblLayout w:type="fixed"/>
        <w:tblCellMar>
          <w:left w:w="10" w:type="dxa"/>
          <w:right w:w="10" w:type="dxa"/>
        </w:tblCellMar>
        <w:tblLook w:val="04A0"/>
      </w:tblPr>
      <w:tblGrid>
        <w:gridCol w:w="269"/>
        <w:gridCol w:w="4018"/>
        <w:gridCol w:w="2395"/>
      </w:tblGrid>
      <w:tr w:rsidR="00B53FD4">
        <w:tblPrEx>
          <w:tblCellMar>
            <w:top w:w="0" w:type="dxa"/>
            <w:bottom w:w="0" w:type="dxa"/>
          </w:tblCellMar>
        </w:tblPrEx>
        <w:trPr>
          <w:trHeight w:hRule="exact" w:val="979"/>
          <w:jc w:val="center"/>
        </w:trPr>
        <w:tc>
          <w:tcPr>
            <w:tcW w:w="269" w:type="dxa"/>
            <w:tcBorders>
              <w:top w:val="single" w:sz="4" w:space="0" w:color="auto"/>
              <w:left w:val="single" w:sz="4" w:space="0" w:color="auto"/>
            </w:tcBorders>
            <w:shd w:val="clear" w:color="auto" w:fill="FFFFFF"/>
          </w:tcPr>
          <w:p w:rsidR="00B53FD4" w:rsidRDefault="00B53FD4">
            <w:pPr>
              <w:framePr w:w="6682" w:wrap="notBeside" w:vAnchor="text" w:hAnchor="text" w:xAlign="center" w:y="1"/>
              <w:rPr>
                <w:sz w:val="10"/>
                <w:szCs w:val="10"/>
              </w:rPr>
            </w:pPr>
          </w:p>
        </w:tc>
        <w:tc>
          <w:tcPr>
            <w:tcW w:w="4018" w:type="dxa"/>
            <w:tcBorders>
              <w:top w:val="single" w:sz="4" w:space="0" w:color="auto"/>
              <w:lef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10" w:lineRule="exact"/>
              <w:ind w:firstLine="0"/>
              <w:jc w:val="center"/>
            </w:pPr>
            <w:r>
              <w:rPr>
                <w:rStyle w:val="Bodytext105pt"/>
              </w:rPr>
              <w:t>Hotel Category</w:t>
            </w:r>
          </w:p>
        </w:tc>
        <w:tc>
          <w:tcPr>
            <w:tcW w:w="2395" w:type="dxa"/>
            <w:tcBorders>
              <w:top w:val="single" w:sz="4" w:space="0" w:color="auto"/>
              <w:left w:val="single" w:sz="4" w:space="0" w:color="auto"/>
              <w:righ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40" w:lineRule="exact"/>
              <w:ind w:firstLine="0"/>
              <w:jc w:val="center"/>
            </w:pPr>
            <w:r>
              <w:rPr>
                <w:rStyle w:val="Bodytext105pt"/>
              </w:rPr>
              <w:t>Rate of local government hotel tax per room occupied (in Shs)</w:t>
            </w:r>
          </w:p>
        </w:tc>
      </w:tr>
      <w:tr w:rsidR="00B53FD4">
        <w:tblPrEx>
          <w:tblCellMar>
            <w:top w:w="0" w:type="dxa"/>
            <w:bottom w:w="0" w:type="dxa"/>
          </w:tblCellMar>
        </w:tblPrEx>
        <w:trPr>
          <w:trHeight w:hRule="exact" w:val="595"/>
          <w:jc w:val="center"/>
        </w:trPr>
        <w:tc>
          <w:tcPr>
            <w:tcW w:w="269" w:type="dxa"/>
            <w:tcBorders>
              <w:top w:val="single" w:sz="4" w:space="0" w:color="auto"/>
              <w:lef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30" w:lineRule="exact"/>
              <w:ind w:left="60" w:firstLine="0"/>
            </w:pPr>
            <w:r>
              <w:rPr>
                <w:rStyle w:val="Bodytext6"/>
              </w:rPr>
              <w:t>1</w:t>
            </w:r>
          </w:p>
        </w:tc>
        <w:tc>
          <w:tcPr>
            <w:tcW w:w="4018" w:type="dxa"/>
            <w:tcBorders>
              <w:top w:val="single" w:sz="4" w:space="0" w:color="auto"/>
              <w:lef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30" w:lineRule="exact"/>
              <w:ind w:firstLine="0"/>
              <w:jc w:val="both"/>
            </w:pPr>
            <w:r>
              <w:rPr>
                <w:rStyle w:val="Bodytext6"/>
              </w:rPr>
              <w:t>Five and four star hotel</w:t>
            </w:r>
          </w:p>
        </w:tc>
        <w:tc>
          <w:tcPr>
            <w:tcW w:w="2395" w:type="dxa"/>
            <w:tcBorders>
              <w:top w:val="single" w:sz="4" w:space="0" w:color="auto"/>
              <w:left w:val="single" w:sz="4" w:space="0" w:color="auto"/>
              <w:righ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74" w:lineRule="exact"/>
              <w:ind w:firstLine="0"/>
              <w:jc w:val="center"/>
            </w:pPr>
            <w:r>
              <w:rPr>
                <w:rStyle w:val="Bodytext6"/>
              </w:rPr>
              <w:t>US$2 per room or its equivalent in shillings</w:t>
            </w:r>
          </w:p>
        </w:tc>
      </w:tr>
      <w:tr w:rsidR="00B53FD4">
        <w:tblPrEx>
          <w:tblCellMar>
            <w:top w:w="0" w:type="dxa"/>
            <w:bottom w:w="0" w:type="dxa"/>
          </w:tblCellMar>
        </w:tblPrEx>
        <w:trPr>
          <w:trHeight w:hRule="exact" w:val="576"/>
          <w:jc w:val="center"/>
        </w:trPr>
        <w:tc>
          <w:tcPr>
            <w:tcW w:w="269" w:type="dxa"/>
            <w:tcBorders>
              <w:top w:val="single" w:sz="4" w:space="0" w:color="auto"/>
              <w:lef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30" w:lineRule="exact"/>
              <w:ind w:left="60" w:firstLine="0"/>
            </w:pPr>
            <w:r>
              <w:rPr>
                <w:rStyle w:val="Bodytext6"/>
              </w:rPr>
              <w:t>2</w:t>
            </w:r>
          </w:p>
        </w:tc>
        <w:tc>
          <w:tcPr>
            <w:tcW w:w="4018" w:type="dxa"/>
            <w:tcBorders>
              <w:top w:val="single" w:sz="4" w:space="0" w:color="auto"/>
              <w:lef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83" w:lineRule="exact"/>
              <w:ind w:firstLine="0"/>
              <w:jc w:val="both"/>
            </w:pPr>
            <w:r>
              <w:rPr>
                <w:rStyle w:val="Bodytext6"/>
              </w:rPr>
              <w:t xml:space="preserve">Three and two star hotel and other hotels charging above Shs </w:t>
            </w:r>
            <w:r>
              <w:rPr>
                <w:rStyle w:val="Bodytext6"/>
              </w:rPr>
              <w:t>50,000/= per room</w:t>
            </w:r>
          </w:p>
        </w:tc>
        <w:tc>
          <w:tcPr>
            <w:tcW w:w="2395" w:type="dxa"/>
            <w:tcBorders>
              <w:top w:val="single" w:sz="4" w:space="0" w:color="auto"/>
              <w:left w:val="single" w:sz="4" w:space="0" w:color="auto"/>
              <w:righ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30" w:lineRule="exact"/>
              <w:ind w:firstLine="0"/>
              <w:jc w:val="center"/>
            </w:pPr>
            <w:r>
              <w:rPr>
                <w:rStyle w:val="Bodytext6"/>
              </w:rPr>
              <w:t>Shs 2,000/= per room</w:t>
            </w:r>
          </w:p>
        </w:tc>
      </w:tr>
      <w:tr w:rsidR="00B53FD4">
        <w:tblPrEx>
          <w:tblCellMar>
            <w:top w:w="0" w:type="dxa"/>
            <w:bottom w:w="0" w:type="dxa"/>
          </w:tblCellMar>
        </w:tblPrEx>
        <w:trPr>
          <w:trHeight w:hRule="exact" w:val="581"/>
          <w:jc w:val="center"/>
        </w:trPr>
        <w:tc>
          <w:tcPr>
            <w:tcW w:w="269" w:type="dxa"/>
            <w:tcBorders>
              <w:top w:val="single" w:sz="4" w:space="0" w:color="auto"/>
              <w:lef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30" w:lineRule="exact"/>
              <w:ind w:left="60" w:firstLine="0"/>
            </w:pPr>
            <w:r>
              <w:rPr>
                <w:rStyle w:val="Bodytext6"/>
              </w:rPr>
              <w:t>3</w:t>
            </w:r>
          </w:p>
        </w:tc>
        <w:tc>
          <w:tcPr>
            <w:tcW w:w="4018" w:type="dxa"/>
            <w:tcBorders>
              <w:top w:val="single" w:sz="4" w:space="0" w:color="auto"/>
              <w:lef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83" w:lineRule="exact"/>
              <w:ind w:firstLine="0"/>
              <w:jc w:val="both"/>
            </w:pPr>
            <w:r>
              <w:rPr>
                <w:rStyle w:val="Bodytext6"/>
              </w:rPr>
              <w:t>Hotels, lodges and guest houses charging Shs 10,000/= up to Shs 50,000/= per room.</w:t>
            </w:r>
          </w:p>
        </w:tc>
        <w:tc>
          <w:tcPr>
            <w:tcW w:w="2395" w:type="dxa"/>
            <w:tcBorders>
              <w:top w:val="single" w:sz="4" w:space="0" w:color="auto"/>
              <w:left w:val="single" w:sz="4" w:space="0" w:color="auto"/>
              <w:righ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30" w:lineRule="exact"/>
              <w:ind w:firstLine="0"/>
              <w:jc w:val="center"/>
            </w:pPr>
            <w:r>
              <w:rPr>
                <w:rStyle w:val="Bodytext6"/>
              </w:rPr>
              <w:t>Shs 1,000/= per room</w:t>
            </w:r>
          </w:p>
        </w:tc>
      </w:tr>
      <w:tr w:rsidR="00B53FD4">
        <w:tblPrEx>
          <w:tblCellMar>
            <w:top w:w="0" w:type="dxa"/>
            <w:bottom w:w="0" w:type="dxa"/>
          </w:tblCellMar>
        </w:tblPrEx>
        <w:trPr>
          <w:trHeight w:hRule="exact" w:val="581"/>
          <w:jc w:val="center"/>
        </w:trPr>
        <w:tc>
          <w:tcPr>
            <w:tcW w:w="269" w:type="dxa"/>
            <w:tcBorders>
              <w:top w:val="single" w:sz="4" w:space="0" w:color="auto"/>
              <w:left w:val="single" w:sz="4" w:space="0" w:color="auto"/>
              <w:bottom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30" w:lineRule="exact"/>
              <w:ind w:left="60" w:firstLine="0"/>
            </w:pPr>
            <w:r>
              <w:rPr>
                <w:rStyle w:val="Bodytext6"/>
              </w:rPr>
              <w:t>4</w:t>
            </w:r>
          </w:p>
        </w:tc>
        <w:tc>
          <w:tcPr>
            <w:tcW w:w="4018" w:type="dxa"/>
            <w:tcBorders>
              <w:top w:val="single" w:sz="4" w:space="0" w:color="auto"/>
              <w:left w:val="single" w:sz="4" w:space="0" w:color="auto"/>
              <w:bottom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78" w:lineRule="exact"/>
              <w:ind w:firstLine="0"/>
              <w:jc w:val="both"/>
            </w:pPr>
            <w:r>
              <w:rPr>
                <w:rStyle w:val="Bodytext6"/>
              </w:rPr>
              <w:t>Hotels, lodges and guest houses charging less than Shs 10,000/= per room.</w:t>
            </w:r>
          </w:p>
        </w:tc>
        <w:tc>
          <w:tcPr>
            <w:tcW w:w="2395" w:type="dxa"/>
            <w:tcBorders>
              <w:top w:val="single" w:sz="4" w:space="0" w:color="auto"/>
              <w:left w:val="single" w:sz="4" w:space="0" w:color="auto"/>
              <w:bottom w:val="single" w:sz="4" w:space="0" w:color="auto"/>
              <w:righ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30" w:lineRule="exact"/>
              <w:ind w:firstLine="0"/>
              <w:jc w:val="center"/>
            </w:pPr>
            <w:r>
              <w:rPr>
                <w:rStyle w:val="Bodytext6"/>
              </w:rPr>
              <w:t>Shs 500/= per room</w:t>
            </w:r>
          </w:p>
        </w:tc>
      </w:tr>
    </w:tbl>
    <w:p w:rsidR="00B53FD4" w:rsidRDefault="00B53FD4">
      <w:pPr>
        <w:rPr>
          <w:sz w:val="2"/>
          <w:szCs w:val="2"/>
        </w:rPr>
      </w:pPr>
    </w:p>
    <w:p w:rsidR="00B53FD4" w:rsidRDefault="00B53FD4">
      <w:pPr>
        <w:rPr>
          <w:sz w:val="2"/>
          <w:szCs w:val="2"/>
        </w:rPr>
        <w:sectPr w:rsidR="00B53FD4">
          <w:footerReference w:type="default" r:id="rId7"/>
          <w:type w:val="continuous"/>
          <w:pgSz w:w="12240" w:h="15840"/>
          <w:pgMar w:top="2451" w:right="2760" w:bottom="2720" w:left="2789" w:header="0" w:footer="3" w:gutter="0"/>
          <w:cols w:space="720"/>
          <w:noEndnote/>
          <w:docGrid w:linePitch="360"/>
        </w:sectPr>
      </w:pPr>
    </w:p>
    <w:p w:rsidR="00B53FD4" w:rsidRDefault="00FF39C6">
      <w:pPr>
        <w:pStyle w:val="Heading10"/>
        <w:keepNext/>
        <w:keepLines/>
        <w:numPr>
          <w:ilvl w:val="0"/>
          <w:numId w:val="3"/>
        </w:numPr>
        <w:shd w:val="clear" w:color="auto" w:fill="auto"/>
        <w:tabs>
          <w:tab w:val="left" w:pos="480"/>
        </w:tabs>
        <w:spacing w:before="0"/>
        <w:ind w:firstLine="0"/>
        <w:jc w:val="left"/>
      </w:pPr>
      <w:bookmarkStart w:id="2" w:name="bookmark2"/>
      <w:r>
        <w:rPr>
          <w:rStyle w:val="Heading11"/>
        </w:rPr>
        <w:lastRenderedPageBreak/>
        <w:t>Local service tax.</w:t>
      </w:r>
      <w:bookmarkEnd w:id="2"/>
    </w:p>
    <w:p w:rsidR="00B53FD4" w:rsidRDefault="00FF39C6">
      <w:pPr>
        <w:pStyle w:val="Bodytext0"/>
        <w:numPr>
          <w:ilvl w:val="0"/>
          <w:numId w:val="4"/>
        </w:numPr>
        <w:shd w:val="clear" w:color="auto" w:fill="auto"/>
        <w:tabs>
          <w:tab w:val="left" w:pos="888"/>
        </w:tabs>
        <w:spacing w:before="0" w:after="99" w:line="278" w:lineRule="exact"/>
        <w:ind w:right="40" w:firstLine="480"/>
        <w:jc w:val="both"/>
      </w:pPr>
      <w:r>
        <w:rPr>
          <w:rStyle w:val="Bodytext1"/>
        </w:rPr>
        <w:t xml:space="preserve">The local service tax shall be levied on the wealth and income </w:t>
      </w:r>
      <w:r>
        <w:rPr>
          <w:rStyle w:val="Bodytext1"/>
        </w:rPr>
        <w:lastRenderedPageBreak/>
        <w:t xml:space="preserve">of the following categories of people and the assessment </w:t>
      </w:r>
      <w:r>
        <w:rPr>
          <w:rStyle w:val="Bodytext1"/>
        </w:rPr>
        <w:t>shall be fair, equitable and not regressive—</w:t>
      </w:r>
    </w:p>
    <w:p w:rsidR="00B53FD4" w:rsidRDefault="00FF39C6">
      <w:pPr>
        <w:pStyle w:val="Bodytext0"/>
        <w:numPr>
          <w:ilvl w:val="0"/>
          <w:numId w:val="5"/>
        </w:numPr>
        <w:shd w:val="clear" w:color="auto" w:fill="auto"/>
        <w:tabs>
          <w:tab w:val="left" w:pos="806"/>
        </w:tabs>
        <w:spacing w:before="0" w:after="139" w:line="230" w:lineRule="exact"/>
        <w:ind w:firstLine="480"/>
        <w:jc w:val="both"/>
      </w:pPr>
      <w:r>
        <w:rPr>
          <w:rStyle w:val="Bodytext1"/>
        </w:rPr>
        <w:t>persons in gainful employment;</w:t>
      </w:r>
    </w:p>
    <w:p w:rsidR="00B53FD4" w:rsidRDefault="00FF39C6">
      <w:pPr>
        <w:pStyle w:val="Bodytext0"/>
        <w:numPr>
          <w:ilvl w:val="0"/>
          <w:numId w:val="5"/>
        </w:numPr>
        <w:shd w:val="clear" w:color="auto" w:fill="auto"/>
        <w:tabs>
          <w:tab w:val="left" w:pos="883"/>
        </w:tabs>
        <w:spacing w:before="0" w:after="0" w:line="278" w:lineRule="exact"/>
        <w:ind w:firstLine="480"/>
        <w:jc w:val="both"/>
      </w:pPr>
      <w:r>
        <w:rPr>
          <w:rStyle w:val="Bodytext1"/>
        </w:rPr>
        <w:t>self employed and practising professionals (medical and</w:t>
      </w:r>
    </w:p>
    <w:p w:rsidR="00B53FD4" w:rsidRDefault="00FF39C6">
      <w:pPr>
        <w:pStyle w:val="Bodytext0"/>
        <w:shd w:val="clear" w:color="auto" w:fill="auto"/>
        <w:spacing w:before="0" w:after="60" w:line="278" w:lineRule="exact"/>
        <w:ind w:left="1100" w:right="40" w:firstLine="0"/>
        <w:jc w:val="both"/>
      </w:pPr>
      <w:r>
        <w:rPr>
          <w:rStyle w:val="Bodytext1"/>
        </w:rPr>
        <w:t xml:space="preserve">veterinary doctors, engineers, accountants, consultants, technicians, lawyers, dentists, pharmacists, architects, </w:t>
      </w:r>
      <w:r>
        <w:rPr>
          <w:rStyle w:val="Bodytext1"/>
        </w:rPr>
        <w:t>scientists, surveyors, valuers, ICT specialists and any other self employed professionals not mentioned.);</w:t>
      </w:r>
    </w:p>
    <w:p w:rsidR="00B53FD4" w:rsidRDefault="00FF39C6">
      <w:pPr>
        <w:pStyle w:val="Bodytext0"/>
        <w:numPr>
          <w:ilvl w:val="0"/>
          <w:numId w:val="5"/>
        </w:numPr>
        <w:shd w:val="clear" w:color="auto" w:fill="auto"/>
        <w:tabs>
          <w:tab w:val="left" w:pos="902"/>
        </w:tabs>
        <w:spacing w:before="0" w:after="0" w:line="278" w:lineRule="exact"/>
        <w:ind w:firstLine="480"/>
        <w:jc w:val="both"/>
      </w:pPr>
      <w:r>
        <w:rPr>
          <w:rStyle w:val="Bodytext1"/>
        </w:rPr>
        <w:t>self employed artisans (craftsmen, plumbers, builders,</w:t>
      </w:r>
    </w:p>
    <w:p w:rsidR="00B53FD4" w:rsidRDefault="00FF39C6">
      <w:pPr>
        <w:pStyle w:val="Bodytext0"/>
        <w:shd w:val="clear" w:color="auto" w:fill="auto"/>
        <w:spacing w:before="0" w:after="60" w:line="278" w:lineRule="exact"/>
        <w:ind w:left="1100" w:right="40" w:firstLine="0"/>
        <w:jc w:val="both"/>
      </w:pPr>
      <w:r>
        <w:rPr>
          <w:rStyle w:val="Bodytext1"/>
        </w:rPr>
        <w:t>electricians, masons, carpenters, mechanics, blacksmiths, painters, welders, bakers, furniture</w:t>
      </w:r>
      <w:r>
        <w:rPr>
          <w:rStyle w:val="Bodytext1"/>
        </w:rPr>
        <w:t xml:space="preserve"> makers, florists, tailors, radio and television repairers, hair dressers, semi</w:t>
      </w:r>
      <w:r>
        <w:rPr>
          <w:rStyle w:val="Bodytext1"/>
        </w:rPr>
        <w:softHyphen/>
        <w:t xml:space="preserve">skilled artisans and any other artisans not mentioned excluding sole petty artisans and </w:t>
      </w:r>
      <w:r>
        <w:rPr>
          <w:rStyle w:val="BodytextItalic"/>
        </w:rPr>
        <w:t>jua kalis,</w:t>
      </w:r>
      <w:r>
        <w:rPr>
          <w:rStyle w:val="Bodytext1"/>
        </w:rPr>
        <w:t xml:space="preserve"> who are not fully established and not business entities;</w:t>
      </w:r>
    </w:p>
    <w:p w:rsidR="00B53FD4" w:rsidRDefault="00FF39C6">
      <w:pPr>
        <w:pStyle w:val="Bodytext0"/>
        <w:numPr>
          <w:ilvl w:val="0"/>
          <w:numId w:val="5"/>
        </w:numPr>
        <w:shd w:val="clear" w:color="auto" w:fill="auto"/>
        <w:tabs>
          <w:tab w:val="left" w:pos="888"/>
        </w:tabs>
        <w:spacing w:before="0" w:after="0" w:line="278" w:lineRule="exact"/>
        <w:ind w:firstLine="480"/>
        <w:jc w:val="both"/>
      </w:pPr>
      <w:r>
        <w:rPr>
          <w:rStyle w:val="Bodytext1"/>
        </w:rPr>
        <w:t>businessmen and busi</w:t>
      </w:r>
      <w:r>
        <w:rPr>
          <w:rStyle w:val="Bodytext1"/>
        </w:rPr>
        <w:t>nesswomen (owners of shops, fuel</w:t>
      </w:r>
    </w:p>
    <w:p w:rsidR="00B53FD4" w:rsidRDefault="00FF39C6">
      <w:pPr>
        <w:pStyle w:val="Bodytext0"/>
        <w:shd w:val="clear" w:color="auto" w:fill="auto"/>
        <w:spacing w:before="0" w:after="99" w:line="278" w:lineRule="exact"/>
        <w:ind w:left="1100" w:right="40" w:firstLine="0"/>
        <w:jc w:val="both"/>
      </w:pPr>
      <w:r>
        <w:rPr>
          <w:rStyle w:val="Bodytext1"/>
        </w:rPr>
        <w:t xml:space="preserve">stations, restaurants, bars, furniture workshops, directors and shareholders of business companies, printery workshops, food vendors, commission agents, insurance brokers, butchers, real estate service providers, owners of </w:t>
      </w:r>
      <w:r>
        <w:rPr>
          <w:rStyle w:val="Bodytext1"/>
        </w:rPr>
        <w:t>road construction firms, outside - catering service providers, coffee millers, maize millers, fish mongers, timber merchants, garage owners and shoe makers and any other businessmen and business women not mentioned);</w:t>
      </w:r>
    </w:p>
    <w:p w:rsidR="00B53FD4" w:rsidRDefault="00FF39C6">
      <w:pPr>
        <w:pStyle w:val="Bodytext0"/>
        <w:numPr>
          <w:ilvl w:val="0"/>
          <w:numId w:val="5"/>
        </w:numPr>
        <w:shd w:val="clear" w:color="auto" w:fill="auto"/>
        <w:tabs>
          <w:tab w:val="left" w:pos="816"/>
        </w:tabs>
        <w:spacing w:before="0" w:after="144" w:line="230" w:lineRule="exact"/>
        <w:ind w:firstLine="480"/>
        <w:jc w:val="both"/>
      </w:pPr>
      <w:r>
        <w:rPr>
          <w:rStyle w:val="Bodytext1"/>
        </w:rPr>
        <w:t>commercial farmers.</w:t>
      </w:r>
    </w:p>
    <w:p w:rsidR="00B53FD4" w:rsidRDefault="00FF39C6">
      <w:pPr>
        <w:pStyle w:val="Bodytext0"/>
        <w:numPr>
          <w:ilvl w:val="0"/>
          <w:numId w:val="4"/>
        </w:numPr>
        <w:shd w:val="clear" w:color="auto" w:fill="auto"/>
        <w:tabs>
          <w:tab w:val="left" w:pos="840"/>
        </w:tabs>
        <w:spacing w:before="0" w:after="99" w:line="278" w:lineRule="exact"/>
        <w:ind w:right="40" w:firstLine="480"/>
        <w:jc w:val="both"/>
      </w:pPr>
      <w:r>
        <w:rPr>
          <w:rStyle w:val="Bodytext1"/>
        </w:rPr>
        <w:t xml:space="preserve">Salaries of the </w:t>
      </w:r>
      <w:r>
        <w:rPr>
          <w:rStyle w:val="Bodytext1"/>
        </w:rPr>
        <w:t>following are exempted from the payment of local service tax—</w:t>
      </w:r>
    </w:p>
    <w:p w:rsidR="00B53FD4" w:rsidRDefault="00FF39C6">
      <w:pPr>
        <w:pStyle w:val="Bodytext0"/>
        <w:numPr>
          <w:ilvl w:val="0"/>
          <w:numId w:val="6"/>
        </w:numPr>
        <w:shd w:val="clear" w:color="auto" w:fill="auto"/>
        <w:tabs>
          <w:tab w:val="left" w:pos="806"/>
        </w:tabs>
        <w:spacing w:before="0" w:after="183" w:line="230" w:lineRule="exact"/>
        <w:ind w:firstLine="480"/>
        <w:jc w:val="both"/>
      </w:pPr>
      <w:r>
        <w:rPr>
          <w:rStyle w:val="Bodytext1"/>
        </w:rPr>
        <w:t>members of the Uganda People’s Defence Force;</w:t>
      </w:r>
    </w:p>
    <w:p w:rsidR="00B53FD4" w:rsidRDefault="00FF39C6">
      <w:pPr>
        <w:pStyle w:val="Bodytext0"/>
        <w:numPr>
          <w:ilvl w:val="0"/>
          <w:numId w:val="6"/>
        </w:numPr>
        <w:shd w:val="clear" w:color="auto" w:fill="auto"/>
        <w:tabs>
          <w:tab w:val="left" w:pos="816"/>
        </w:tabs>
        <w:spacing w:before="0" w:after="183" w:line="230" w:lineRule="exact"/>
        <w:ind w:firstLine="480"/>
        <w:jc w:val="both"/>
      </w:pPr>
      <w:r>
        <w:rPr>
          <w:rStyle w:val="Bodytext1"/>
        </w:rPr>
        <w:t>members of the Uganda Police Force;</w:t>
      </w:r>
    </w:p>
    <w:p w:rsidR="00B53FD4" w:rsidRDefault="00FF39C6">
      <w:pPr>
        <w:pStyle w:val="Bodytext0"/>
        <w:numPr>
          <w:ilvl w:val="0"/>
          <w:numId w:val="6"/>
        </w:numPr>
        <w:shd w:val="clear" w:color="auto" w:fill="auto"/>
        <w:tabs>
          <w:tab w:val="left" w:pos="806"/>
        </w:tabs>
        <w:spacing w:before="0" w:after="0" w:line="230" w:lineRule="exact"/>
        <w:ind w:firstLine="480"/>
        <w:jc w:val="both"/>
        <w:sectPr w:rsidR="00B53FD4">
          <w:footerReference w:type="default" r:id="rId8"/>
          <w:headerReference w:type="first" r:id="rId9"/>
          <w:footerReference w:type="first" r:id="rId10"/>
          <w:type w:val="continuous"/>
          <w:pgSz w:w="12240" w:h="15840"/>
          <w:pgMar w:top="2872" w:right="2782" w:bottom="2771" w:left="2777" w:header="0" w:footer="3" w:gutter="0"/>
          <w:cols w:space="720"/>
          <w:noEndnote/>
          <w:titlePg/>
          <w:docGrid w:linePitch="360"/>
        </w:sectPr>
      </w:pPr>
      <w:r>
        <w:rPr>
          <w:rStyle w:val="Bodytext1"/>
        </w:rPr>
        <w:t>members of the Uganda Prisons Service;</w:t>
      </w:r>
    </w:p>
    <w:p w:rsidR="00B53FD4" w:rsidRDefault="00FF39C6">
      <w:pPr>
        <w:pStyle w:val="Bodytext50"/>
        <w:shd w:val="clear" w:color="auto" w:fill="auto"/>
        <w:spacing w:before="0" w:after="123" w:line="230" w:lineRule="exact"/>
        <w:ind w:right="60"/>
        <w:jc w:val="right"/>
      </w:pPr>
      <w:r>
        <w:rPr>
          <w:rStyle w:val="Bodytext5NotItalic"/>
        </w:rPr>
        <w:lastRenderedPageBreak/>
        <w:t xml:space="preserve">Act 8 </w:t>
      </w:r>
      <w:r>
        <w:rPr>
          <w:rStyle w:val="Bodytext51"/>
          <w:i/>
          <w:iCs/>
        </w:rPr>
        <w:t>Local Governments (Amendment) (No. 2) Act</w:t>
      </w:r>
      <w:r>
        <w:rPr>
          <w:rStyle w:val="Bodytext5NotItalic"/>
        </w:rPr>
        <w:t xml:space="preserve"> 2008</w:t>
      </w:r>
    </w:p>
    <w:p w:rsidR="00B53FD4" w:rsidRDefault="00FF39C6">
      <w:pPr>
        <w:pStyle w:val="Bodytext0"/>
        <w:numPr>
          <w:ilvl w:val="0"/>
          <w:numId w:val="6"/>
        </w:numPr>
        <w:shd w:val="clear" w:color="auto" w:fill="auto"/>
        <w:tabs>
          <w:tab w:val="left" w:pos="836"/>
        </w:tabs>
        <w:spacing w:before="0" w:after="123" w:line="230" w:lineRule="exact"/>
        <w:ind w:left="20" w:firstLine="480"/>
        <w:jc w:val="both"/>
      </w:pPr>
      <w:r>
        <w:rPr>
          <w:rStyle w:val="Bodytext1"/>
        </w:rPr>
        <w:t>members of the local defence forces; and</w:t>
      </w:r>
    </w:p>
    <w:p w:rsidR="00B53FD4" w:rsidRDefault="00FF39C6">
      <w:pPr>
        <w:pStyle w:val="Bodytext0"/>
        <w:numPr>
          <w:ilvl w:val="0"/>
          <w:numId w:val="6"/>
        </w:numPr>
        <w:shd w:val="clear" w:color="auto" w:fill="auto"/>
        <w:tabs>
          <w:tab w:val="left" w:pos="326"/>
        </w:tabs>
        <w:spacing w:before="0" w:after="196" w:line="230" w:lineRule="exact"/>
        <w:ind w:right="60" w:firstLine="0"/>
        <w:jc w:val="right"/>
      </w:pPr>
      <w:r>
        <w:rPr>
          <w:rStyle w:val="Bodytext1"/>
        </w:rPr>
        <w:t>members of the diplomatic missions accredited to Uganda.</w:t>
      </w:r>
    </w:p>
    <w:p w:rsidR="00B53FD4" w:rsidRDefault="00FF39C6">
      <w:pPr>
        <w:pStyle w:val="Bodytext0"/>
        <w:numPr>
          <w:ilvl w:val="0"/>
          <w:numId w:val="4"/>
        </w:numPr>
        <w:shd w:val="clear" w:color="auto" w:fill="auto"/>
        <w:tabs>
          <w:tab w:val="left" w:pos="841"/>
        </w:tabs>
        <w:spacing w:before="0" w:after="103" w:line="283" w:lineRule="exact"/>
        <w:ind w:left="20" w:right="60" w:firstLine="480"/>
        <w:jc w:val="both"/>
      </w:pPr>
      <w:r>
        <w:rPr>
          <w:rStyle w:val="Bodytext1"/>
        </w:rPr>
        <w:lastRenderedPageBreak/>
        <w:t>The following persons</w:t>
      </w:r>
      <w:r>
        <w:rPr>
          <w:rStyle w:val="Bodytext1"/>
        </w:rPr>
        <w:t xml:space="preserve"> are exempt from the payment of local service tax—</w:t>
      </w:r>
    </w:p>
    <w:p w:rsidR="00B53FD4" w:rsidRDefault="00FF39C6">
      <w:pPr>
        <w:pStyle w:val="Bodytext0"/>
        <w:numPr>
          <w:ilvl w:val="0"/>
          <w:numId w:val="7"/>
        </w:numPr>
        <w:shd w:val="clear" w:color="auto" w:fill="auto"/>
        <w:tabs>
          <w:tab w:val="left" w:pos="826"/>
        </w:tabs>
        <w:spacing w:before="0" w:after="118" w:line="230" w:lineRule="exact"/>
        <w:ind w:left="20" w:firstLine="480"/>
        <w:jc w:val="both"/>
      </w:pPr>
      <w:r>
        <w:rPr>
          <w:rStyle w:val="Bodytext1"/>
        </w:rPr>
        <w:t>unemployed persons and peasants</w:t>
      </w:r>
    </w:p>
    <w:p w:rsidR="00B53FD4" w:rsidRDefault="00FF39C6">
      <w:pPr>
        <w:pStyle w:val="Bodytext0"/>
        <w:numPr>
          <w:ilvl w:val="0"/>
          <w:numId w:val="7"/>
        </w:numPr>
        <w:shd w:val="clear" w:color="auto" w:fill="auto"/>
        <w:tabs>
          <w:tab w:val="left" w:pos="898"/>
        </w:tabs>
        <w:spacing w:before="0" w:after="0" w:line="230" w:lineRule="exact"/>
        <w:ind w:left="20" w:firstLine="480"/>
        <w:jc w:val="both"/>
      </w:pPr>
      <w:r>
        <w:rPr>
          <w:rStyle w:val="Bodytext1"/>
        </w:rPr>
        <w:t>a person engaged in subsistence or occasional economic</w:t>
      </w:r>
    </w:p>
    <w:p w:rsidR="00B53FD4" w:rsidRDefault="00FF39C6">
      <w:pPr>
        <w:pStyle w:val="Bodytext0"/>
        <w:shd w:val="clear" w:color="auto" w:fill="auto"/>
        <w:spacing w:before="0" w:after="0" w:line="413" w:lineRule="exact"/>
        <w:ind w:left="1120" w:firstLine="0"/>
      </w:pPr>
      <w:r>
        <w:rPr>
          <w:rStyle w:val="Bodytext1"/>
        </w:rPr>
        <w:t>activities;</w:t>
      </w:r>
    </w:p>
    <w:p w:rsidR="00B53FD4" w:rsidRDefault="00FF39C6">
      <w:pPr>
        <w:pStyle w:val="Bodytext0"/>
        <w:numPr>
          <w:ilvl w:val="0"/>
          <w:numId w:val="7"/>
        </w:numPr>
        <w:shd w:val="clear" w:color="auto" w:fill="auto"/>
        <w:tabs>
          <w:tab w:val="left" w:pos="826"/>
        </w:tabs>
        <w:spacing w:before="0" w:after="0" w:line="413" w:lineRule="exact"/>
        <w:ind w:left="20" w:firstLine="480"/>
        <w:jc w:val="both"/>
      </w:pPr>
      <w:r>
        <w:rPr>
          <w:rStyle w:val="Bodytext1"/>
        </w:rPr>
        <w:t>petty food vendors;</w:t>
      </w:r>
    </w:p>
    <w:p w:rsidR="00B53FD4" w:rsidRDefault="00FF39C6">
      <w:pPr>
        <w:pStyle w:val="Bodytext0"/>
        <w:numPr>
          <w:ilvl w:val="0"/>
          <w:numId w:val="7"/>
        </w:numPr>
        <w:shd w:val="clear" w:color="auto" w:fill="auto"/>
        <w:tabs>
          <w:tab w:val="left" w:pos="841"/>
        </w:tabs>
        <w:spacing w:before="0" w:after="0" w:line="413" w:lineRule="exact"/>
        <w:ind w:left="20" w:firstLine="480"/>
        <w:jc w:val="both"/>
      </w:pPr>
      <w:r>
        <w:rPr>
          <w:rStyle w:val="BodytextItalic"/>
        </w:rPr>
        <w:t>boda-boda</w:t>
      </w:r>
      <w:r>
        <w:rPr>
          <w:rStyle w:val="Bodytext1"/>
        </w:rPr>
        <w:t xml:space="preserve"> cyclists;</w:t>
      </w:r>
    </w:p>
    <w:p w:rsidR="00B53FD4" w:rsidRDefault="00FF39C6">
      <w:pPr>
        <w:pStyle w:val="Bodytext0"/>
        <w:numPr>
          <w:ilvl w:val="0"/>
          <w:numId w:val="7"/>
        </w:numPr>
        <w:shd w:val="clear" w:color="auto" w:fill="auto"/>
        <w:tabs>
          <w:tab w:val="left" w:pos="822"/>
        </w:tabs>
        <w:spacing w:before="0" w:after="0" w:line="230" w:lineRule="exact"/>
        <w:ind w:left="20" w:firstLine="480"/>
        <w:jc w:val="both"/>
      </w:pPr>
      <w:r>
        <w:rPr>
          <w:rStyle w:val="Bodytext1"/>
        </w:rPr>
        <w:t xml:space="preserve">sole petty artisans and </w:t>
      </w:r>
      <w:r>
        <w:rPr>
          <w:rStyle w:val="BodytextItalic"/>
        </w:rPr>
        <w:t>jua kalis,</w:t>
      </w:r>
      <w:r>
        <w:rPr>
          <w:rStyle w:val="Bodytext1"/>
        </w:rPr>
        <w:t xml:space="preserve"> who are not fully established</w:t>
      </w:r>
    </w:p>
    <w:p w:rsidR="00B53FD4" w:rsidRDefault="00FF39C6">
      <w:pPr>
        <w:pStyle w:val="Bodytext0"/>
        <w:shd w:val="clear" w:color="auto" w:fill="auto"/>
        <w:spacing w:before="0" w:after="0" w:line="230" w:lineRule="exact"/>
        <w:ind w:left="1120" w:firstLine="0"/>
      </w:pPr>
      <w:r>
        <w:rPr>
          <w:rStyle w:val="Bodytext1"/>
        </w:rPr>
        <w:t>and are not business entities; and</w:t>
      </w:r>
    </w:p>
    <w:p w:rsidR="00B53FD4" w:rsidRDefault="00FF39C6">
      <w:pPr>
        <w:pStyle w:val="Bodytext0"/>
        <w:numPr>
          <w:ilvl w:val="0"/>
          <w:numId w:val="7"/>
        </w:numPr>
        <w:shd w:val="clear" w:color="auto" w:fill="auto"/>
        <w:tabs>
          <w:tab w:val="left" w:pos="807"/>
        </w:tabs>
        <w:spacing w:before="0" w:after="3" w:line="230" w:lineRule="exact"/>
        <w:ind w:left="20" w:firstLine="480"/>
        <w:jc w:val="both"/>
      </w:pPr>
      <w:r>
        <w:rPr>
          <w:rStyle w:val="Bodytext1"/>
        </w:rPr>
        <w:t>people living in poverty who are unable to earn a minimum</w:t>
      </w:r>
    </w:p>
    <w:p w:rsidR="00B53FD4" w:rsidRDefault="00FF39C6">
      <w:pPr>
        <w:pStyle w:val="Bodytext0"/>
        <w:shd w:val="clear" w:color="auto" w:fill="auto"/>
        <w:spacing w:before="0" w:after="84" w:line="230" w:lineRule="exact"/>
        <w:ind w:left="1120" w:firstLine="0"/>
      </w:pPr>
      <w:r>
        <w:rPr>
          <w:rStyle w:val="Bodytext1"/>
        </w:rPr>
        <w:t>income to access basic necessities of life.</w:t>
      </w:r>
    </w:p>
    <w:p w:rsidR="00B53FD4" w:rsidRDefault="00FF39C6">
      <w:pPr>
        <w:pStyle w:val="Bodytext0"/>
        <w:numPr>
          <w:ilvl w:val="0"/>
          <w:numId w:val="4"/>
        </w:numPr>
        <w:shd w:val="clear" w:color="auto" w:fill="auto"/>
        <w:tabs>
          <w:tab w:val="left" w:pos="922"/>
        </w:tabs>
        <w:spacing w:before="0" w:after="176" w:line="278" w:lineRule="exact"/>
        <w:ind w:left="20" w:right="60" w:firstLine="480"/>
        <w:jc w:val="both"/>
      </w:pPr>
      <w:r>
        <w:rPr>
          <w:rStyle w:val="Bodytext1"/>
        </w:rPr>
        <w:t>For the purposes of this regulation, “peasants” include people who produce for their own subsistence and have nothing o</w:t>
      </w:r>
      <w:r>
        <w:rPr>
          <w:rStyle w:val="Bodytext1"/>
        </w:rPr>
        <w:t>r very little to sell to the market.</w:t>
      </w:r>
    </w:p>
    <w:p w:rsidR="00B53FD4" w:rsidRDefault="00FF39C6">
      <w:pPr>
        <w:pStyle w:val="Heading10"/>
        <w:keepNext/>
        <w:keepLines/>
        <w:numPr>
          <w:ilvl w:val="0"/>
          <w:numId w:val="3"/>
        </w:numPr>
        <w:shd w:val="clear" w:color="auto" w:fill="auto"/>
        <w:tabs>
          <w:tab w:val="left" w:pos="520"/>
        </w:tabs>
        <w:spacing w:before="0" w:line="283" w:lineRule="exact"/>
        <w:ind w:left="520" w:right="60"/>
        <w:jc w:val="left"/>
      </w:pPr>
      <w:bookmarkStart w:id="3" w:name="bookmark3"/>
      <w:r>
        <w:rPr>
          <w:rStyle w:val="Heading11"/>
        </w:rPr>
        <w:t>Rates of local service tax in respect of persons in gainful employment and earning a monthly take-home salary</w:t>
      </w:r>
      <w:bookmarkEnd w:id="3"/>
    </w:p>
    <w:p w:rsidR="00B53FD4" w:rsidRDefault="00FF39C6">
      <w:pPr>
        <w:pStyle w:val="Bodytext0"/>
        <w:numPr>
          <w:ilvl w:val="0"/>
          <w:numId w:val="8"/>
        </w:numPr>
        <w:shd w:val="clear" w:color="auto" w:fill="auto"/>
        <w:tabs>
          <w:tab w:val="left" w:pos="850"/>
        </w:tabs>
        <w:spacing w:before="0" w:after="4" w:line="278" w:lineRule="exact"/>
        <w:ind w:left="20" w:right="60" w:firstLine="480"/>
        <w:jc w:val="both"/>
      </w:pPr>
      <w:r>
        <w:rPr>
          <w:rStyle w:val="Bodytext1"/>
        </w:rPr>
        <w:t>The local service tax on persons in gainful employment and earning a monthly take-home salary shall be levied</w:t>
      </w:r>
      <w:r>
        <w:rPr>
          <w:rStyle w:val="Bodytext1"/>
        </w:rPr>
        <w:t xml:space="preserve"> as follows—</w:t>
      </w:r>
    </w:p>
    <w:tbl>
      <w:tblPr>
        <w:tblOverlap w:val="never"/>
        <w:tblW w:w="0" w:type="auto"/>
        <w:jc w:val="center"/>
        <w:tblLayout w:type="fixed"/>
        <w:tblCellMar>
          <w:left w:w="10" w:type="dxa"/>
          <w:right w:w="10" w:type="dxa"/>
        </w:tblCellMar>
        <w:tblLook w:val="04A0"/>
      </w:tblPr>
      <w:tblGrid>
        <w:gridCol w:w="394"/>
        <w:gridCol w:w="4651"/>
        <w:gridCol w:w="1661"/>
      </w:tblGrid>
      <w:tr w:rsidR="00B53FD4">
        <w:tblPrEx>
          <w:tblCellMar>
            <w:top w:w="0" w:type="dxa"/>
            <w:bottom w:w="0" w:type="dxa"/>
          </w:tblCellMar>
        </w:tblPrEx>
        <w:trPr>
          <w:trHeight w:hRule="exact" w:val="720"/>
          <w:jc w:val="center"/>
        </w:trPr>
        <w:tc>
          <w:tcPr>
            <w:tcW w:w="394" w:type="dxa"/>
            <w:tcBorders>
              <w:top w:val="single" w:sz="4" w:space="0" w:color="auto"/>
              <w:left w:val="single" w:sz="4" w:space="0" w:color="auto"/>
            </w:tcBorders>
            <w:shd w:val="clear" w:color="auto" w:fill="FFFFFF"/>
          </w:tcPr>
          <w:p w:rsidR="00B53FD4" w:rsidRDefault="00B53FD4">
            <w:pPr>
              <w:framePr w:w="6706" w:wrap="notBeside" w:vAnchor="text" w:hAnchor="text" w:xAlign="center" w:y="1"/>
              <w:rPr>
                <w:sz w:val="10"/>
                <w:szCs w:val="10"/>
              </w:rPr>
            </w:pPr>
          </w:p>
        </w:tc>
        <w:tc>
          <w:tcPr>
            <w:tcW w:w="4651"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90" w:lineRule="exact"/>
              <w:ind w:left="80" w:firstLine="0"/>
            </w:pPr>
            <w:r>
              <w:rPr>
                <w:rStyle w:val="Bodytext95pt"/>
              </w:rPr>
              <w:t>Amount of monthly income earned (in Shs)</w:t>
            </w:r>
          </w:p>
        </w:tc>
        <w:tc>
          <w:tcPr>
            <w:tcW w:w="1661" w:type="dxa"/>
            <w:tcBorders>
              <w:top w:val="single" w:sz="4" w:space="0" w:color="auto"/>
              <w:left w:val="single" w:sz="4" w:space="0" w:color="auto"/>
              <w:righ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221" w:lineRule="exact"/>
              <w:ind w:firstLine="0"/>
              <w:jc w:val="both"/>
            </w:pPr>
            <w:r>
              <w:rPr>
                <w:rStyle w:val="Bodytext95pt"/>
              </w:rPr>
              <w:t>Rate of local service tax (in Shs) per year</w:t>
            </w:r>
          </w:p>
        </w:tc>
      </w:tr>
      <w:tr w:rsidR="00B53FD4">
        <w:tblPrEx>
          <w:tblCellMar>
            <w:top w:w="0" w:type="dxa"/>
            <w:bottom w:w="0" w:type="dxa"/>
          </w:tblCellMar>
        </w:tblPrEx>
        <w:trPr>
          <w:trHeight w:hRule="exact" w:val="235"/>
          <w:jc w:val="center"/>
        </w:trPr>
        <w:tc>
          <w:tcPr>
            <w:tcW w:w="394"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100" w:firstLine="0"/>
            </w:pPr>
            <w:r>
              <w:rPr>
                <w:rStyle w:val="Bodytext9pt"/>
              </w:rPr>
              <w:t>1</w:t>
            </w:r>
          </w:p>
        </w:tc>
        <w:tc>
          <w:tcPr>
            <w:tcW w:w="4651"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80" w:firstLine="0"/>
            </w:pPr>
            <w:r>
              <w:rPr>
                <w:rStyle w:val="Bodytext9pt"/>
              </w:rPr>
              <w:t>Exceeding 100,000= but not exceeding 200,000=</w:t>
            </w:r>
          </w:p>
        </w:tc>
        <w:tc>
          <w:tcPr>
            <w:tcW w:w="1661" w:type="dxa"/>
            <w:tcBorders>
              <w:top w:val="single" w:sz="4" w:space="0" w:color="auto"/>
              <w:left w:val="single" w:sz="4" w:space="0" w:color="auto"/>
              <w:righ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right="180" w:firstLine="0"/>
              <w:jc w:val="right"/>
            </w:pPr>
            <w:r>
              <w:rPr>
                <w:rStyle w:val="Bodytext9pt"/>
              </w:rPr>
              <w:t>5,000=</w:t>
            </w:r>
          </w:p>
        </w:tc>
      </w:tr>
      <w:tr w:rsidR="00B53FD4">
        <w:tblPrEx>
          <w:tblCellMar>
            <w:top w:w="0" w:type="dxa"/>
            <w:bottom w:w="0" w:type="dxa"/>
          </w:tblCellMar>
        </w:tblPrEx>
        <w:trPr>
          <w:trHeight w:hRule="exact" w:val="235"/>
          <w:jc w:val="center"/>
        </w:trPr>
        <w:tc>
          <w:tcPr>
            <w:tcW w:w="394"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100" w:firstLine="0"/>
            </w:pPr>
            <w:r>
              <w:rPr>
                <w:rStyle w:val="Bodytext9pt"/>
              </w:rPr>
              <w:t>2</w:t>
            </w:r>
          </w:p>
        </w:tc>
        <w:tc>
          <w:tcPr>
            <w:tcW w:w="4651"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80" w:firstLine="0"/>
            </w:pPr>
            <w:r>
              <w:rPr>
                <w:rStyle w:val="Bodytext9pt"/>
              </w:rPr>
              <w:t>Exceeding 200,000= but not exceeding 300,000=</w:t>
            </w:r>
          </w:p>
        </w:tc>
        <w:tc>
          <w:tcPr>
            <w:tcW w:w="1661" w:type="dxa"/>
            <w:tcBorders>
              <w:top w:val="single" w:sz="4" w:space="0" w:color="auto"/>
              <w:left w:val="single" w:sz="4" w:space="0" w:color="auto"/>
              <w:righ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right="180" w:firstLine="0"/>
              <w:jc w:val="right"/>
            </w:pPr>
            <w:r>
              <w:rPr>
                <w:rStyle w:val="Bodytext9pt"/>
              </w:rPr>
              <w:t>10,000=</w:t>
            </w:r>
          </w:p>
        </w:tc>
      </w:tr>
      <w:tr w:rsidR="00B53FD4">
        <w:tblPrEx>
          <w:tblCellMar>
            <w:top w:w="0" w:type="dxa"/>
            <w:bottom w:w="0" w:type="dxa"/>
          </w:tblCellMar>
        </w:tblPrEx>
        <w:trPr>
          <w:trHeight w:hRule="exact" w:val="240"/>
          <w:jc w:val="center"/>
        </w:trPr>
        <w:tc>
          <w:tcPr>
            <w:tcW w:w="394"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100" w:firstLine="0"/>
            </w:pPr>
            <w:r>
              <w:rPr>
                <w:rStyle w:val="Bodytext9pt"/>
              </w:rPr>
              <w:t>3</w:t>
            </w:r>
          </w:p>
        </w:tc>
        <w:tc>
          <w:tcPr>
            <w:tcW w:w="4651"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80" w:firstLine="0"/>
            </w:pPr>
            <w:r>
              <w:rPr>
                <w:rStyle w:val="Bodytext9pt"/>
              </w:rPr>
              <w:t xml:space="preserve">Exceeding 300,000= but not exceeding </w:t>
            </w:r>
            <w:r>
              <w:rPr>
                <w:rStyle w:val="Bodytext9pt"/>
              </w:rPr>
              <w:t>400,000=</w:t>
            </w:r>
          </w:p>
        </w:tc>
        <w:tc>
          <w:tcPr>
            <w:tcW w:w="1661" w:type="dxa"/>
            <w:tcBorders>
              <w:top w:val="single" w:sz="4" w:space="0" w:color="auto"/>
              <w:left w:val="single" w:sz="4" w:space="0" w:color="auto"/>
              <w:righ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right="180" w:firstLine="0"/>
              <w:jc w:val="right"/>
            </w:pPr>
            <w:r>
              <w:rPr>
                <w:rStyle w:val="Bodytext9pt"/>
              </w:rPr>
              <w:t>20,000=</w:t>
            </w:r>
          </w:p>
        </w:tc>
      </w:tr>
      <w:tr w:rsidR="00B53FD4">
        <w:tblPrEx>
          <w:tblCellMar>
            <w:top w:w="0" w:type="dxa"/>
            <w:bottom w:w="0" w:type="dxa"/>
          </w:tblCellMar>
        </w:tblPrEx>
        <w:trPr>
          <w:trHeight w:hRule="exact" w:val="235"/>
          <w:jc w:val="center"/>
        </w:trPr>
        <w:tc>
          <w:tcPr>
            <w:tcW w:w="394"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100" w:firstLine="0"/>
            </w:pPr>
            <w:r>
              <w:rPr>
                <w:rStyle w:val="Bodytext9pt"/>
              </w:rPr>
              <w:t>4</w:t>
            </w:r>
          </w:p>
        </w:tc>
        <w:tc>
          <w:tcPr>
            <w:tcW w:w="4651"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80" w:firstLine="0"/>
            </w:pPr>
            <w:r>
              <w:rPr>
                <w:rStyle w:val="Bodytext9pt"/>
              </w:rPr>
              <w:t>Exceeding 400,000= but not exceeding 500,000=</w:t>
            </w:r>
          </w:p>
        </w:tc>
        <w:tc>
          <w:tcPr>
            <w:tcW w:w="1661" w:type="dxa"/>
            <w:tcBorders>
              <w:top w:val="single" w:sz="4" w:space="0" w:color="auto"/>
              <w:left w:val="single" w:sz="4" w:space="0" w:color="auto"/>
              <w:righ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right="180" w:firstLine="0"/>
              <w:jc w:val="right"/>
            </w:pPr>
            <w:r>
              <w:rPr>
                <w:rStyle w:val="Bodytext9pt"/>
              </w:rPr>
              <w:t>30,000=</w:t>
            </w:r>
          </w:p>
        </w:tc>
      </w:tr>
      <w:tr w:rsidR="00B53FD4">
        <w:tblPrEx>
          <w:tblCellMar>
            <w:top w:w="0" w:type="dxa"/>
            <w:bottom w:w="0" w:type="dxa"/>
          </w:tblCellMar>
        </w:tblPrEx>
        <w:trPr>
          <w:trHeight w:hRule="exact" w:val="235"/>
          <w:jc w:val="center"/>
        </w:trPr>
        <w:tc>
          <w:tcPr>
            <w:tcW w:w="394"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100" w:firstLine="0"/>
            </w:pPr>
            <w:r>
              <w:rPr>
                <w:rStyle w:val="Bodytext9pt"/>
              </w:rPr>
              <w:t>5</w:t>
            </w:r>
          </w:p>
        </w:tc>
        <w:tc>
          <w:tcPr>
            <w:tcW w:w="4651"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80" w:firstLine="0"/>
            </w:pPr>
            <w:r>
              <w:rPr>
                <w:rStyle w:val="Bodytext9pt"/>
              </w:rPr>
              <w:t>Exceeding 500,000= but not exceeding 600,000=</w:t>
            </w:r>
          </w:p>
        </w:tc>
        <w:tc>
          <w:tcPr>
            <w:tcW w:w="1661" w:type="dxa"/>
            <w:tcBorders>
              <w:top w:val="single" w:sz="4" w:space="0" w:color="auto"/>
              <w:left w:val="single" w:sz="4" w:space="0" w:color="auto"/>
              <w:righ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right="180" w:firstLine="0"/>
              <w:jc w:val="right"/>
            </w:pPr>
            <w:r>
              <w:rPr>
                <w:rStyle w:val="Bodytext9pt"/>
              </w:rPr>
              <w:t>40,000=</w:t>
            </w:r>
          </w:p>
        </w:tc>
      </w:tr>
      <w:tr w:rsidR="00B53FD4">
        <w:tblPrEx>
          <w:tblCellMar>
            <w:top w:w="0" w:type="dxa"/>
            <w:bottom w:w="0" w:type="dxa"/>
          </w:tblCellMar>
        </w:tblPrEx>
        <w:trPr>
          <w:trHeight w:hRule="exact" w:val="240"/>
          <w:jc w:val="center"/>
        </w:trPr>
        <w:tc>
          <w:tcPr>
            <w:tcW w:w="394"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100" w:firstLine="0"/>
            </w:pPr>
            <w:r>
              <w:rPr>
                <w:rStyle w:val="Bodytext9pt"/>
              </w:rPr>
              <w:t>6</w:t>
            </w:r>
          </w:p>
        </w:tc>
        <w:tc>
          <w:tcPr>
            <w:tcW w:w="4651"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80" w:firstLine="0"/>
            </w:pPr>
            <w:r>
              <w:rPr>
                <w:rStyle w:val="Bodytext9pt"/>
              </w:rPr>
              <w:t>Exceeding 600,000= but not exceeding 700,000=</w:t>
            </w:r>
          </w:p>
        </w:tc>
        <w:tc>
          <w:tcPr>
            <w:tcW w:w="1661" w:type="dxa"/>
            <w:tcBorders>
              <w:top w:val="single" w:sz="4" w:space="0" w:color="auto"/>
              <w:left w:val="single" w:sz="4" w:space="0" w:color="auto"/>
              <w:righ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right="180" w:firstLine="0"/>
              <w:jc w:val="right"/>
            </w:pPr>
            <w:r>
              <w:rPr>
                <w:rStyle w:val="Bodytext9pt"/>
              </w:rPr>
              <w:t>60,000=</w:t>
            </w:r>
          </w:p>
        </w:tc>
      </w:tr>
      <w:tr w:rsidR="00B53FD4">
        <w:tblPrEx>
          <w:tblCellMar>
            <w:top w:w="0" w:type="dxa"/>
            <w:bottom w:w="0" w:type="dxa"/>
          </w:tblCellMar>
        </w:tblPrEx>
        <w:trPr>
          <w:trHeight w:hRule="exact" w:val="235"/>
          <w:jc w:val="center"/>
        </w:trPr>
        <w:tc>
          <w:tcPr>
            <w:tcW w:w="394"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100" w:firstLine="0"/>
            </w:pPr>
            <w:r>
              <w:rPr>
                <w:rStyle w:val="Bodytext9pt"/>
              </w:rPr>
              <w:t>7</w:t>
            </w:r>
          </w:p>
        </w:tc>
        <w:tc>
          <w:tcPr>
            <w:tcW w:w="4651"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80" w:firstLine="0"/>
            </w:pPr>
            <w:r>
              <w:rPr>
                <w:rStyle w:val="Bodytext9pt"/>
              </w:rPr>
              <w:t>Exceeding 700,000= but not exceeding 800,000=</w:t>
            </w:r>
          </w:p>
        </w:tc>
        <w:tc>
          <w:tcPr>
            <w:tcW w:w="1661" w:type="dxa"/>
            <w:tcBorders>
              <w:top w:val="single" w:sz="4" w:space="0" w:color="auto"/>
              <w:left w:val="single" w:sz="4" w:space="0" w:color="auto"/>
              <w:righ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right="180" w:firstLine="0"/>
              <w:jc w:val="right"/>
            </w:pPr>
            <w:r>
              <w:rPr>
                <w:rStyle w:val="Bodytext9pt"/>
              </w:rPr>
              <w:t>70,000=</w:t>
            </w:r>
          </w:p>
        </w:tc>
      </w:tr>
      <w:tr w:rsidR="00B53FD4">
        <w:tblPrEx>
          <w:tblCellMar>
            <w:top w:w="0" w:type="dxa"/>
            <w:bottom w:w="0" w:type="dxa"/>
          </w:tblCellMar>
        </w:tblPrEx>
        <w:trPr>
          <w:trHeight w:hRule="exact" w:val="235"/>
          <w:jc w:val="center"/>
        </w:trPr>
        <w:tc>
          <w:tcPr>
            <w:tcW w:w="394"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100" w:firstLine="0"/>
            </w:pPr>
            <w:r>
              <w:rPr>
                <w:rStyle w:val="Bodytext9pt"/>
              </w:rPr>
              <w:t>8</w:t>
            </w:r>
          </w:p>
        </w:tc>
        <w:tc>
          <w:tcPr>
            <w:tcW w:w="4651"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80" w:firstLine="0"/>
            </w:pPr>
            <w:r>
              <w:rPr>
                <w:rStyle w:val="Bodytext9pt"/>
              </w:rPr>
              <w:t>Exceeding 800,000= but not exceeding 900,000=</w:t>
            </w:r>
          </w:p>
        </w:tc>
        <w:tc>
          <w:tcPr>
            <w:tcW w:w="1661" w:type="dxa"/>
            <w:tcBorders>
              <w:top w:val="single" w:sz="4" w:space="0" w:color="auto"/>
              <w:left w:val="single" w:sz="4" w:space="0" w:color="auto"/>
              <w:righ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right="180" w:firstLine="0"/>
              <w:jc w:val="right"/>
            </w:pPr>
            <w:r>
              <w:rPr>
                <w:rStyle w:val="Bodytext9pt"/>
              </w:rPr>
              <w:t>80,000=</w:t>
            </w:r>
          </w:p>
        </w:tc>
      </w:tr>
      <w:tr w:rsidR="00B53FD4">
        <w:tblPrEx>
          <w:tblCellMar>
            <w:top w:w="0" w:type="dxa"/>
            <w:bottom w:w="0" w:type="dxa"/>
          </w:tblCellMar>
        </w:tblPrEx>
        <w:trPr>
          <w:trHeight w:hRule="exact" w:val="240"/>
          <w:jc w:val="center"/>
        </w:trPr>
        <w:tc>
          <w:tcPr>
            <w:tcW w:w="394"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100" w:firstLine="0"/>
            </w:pPr>
            <w:r>
              <w:rPr>
                <w:rStyle w:val="Bodytext9pt"/>
              </w:rPr>
              <w:t>9</w:t>
            </w:r>
          </w:p>
        </w:tc>
        <w:tc>
          <w:tcPr>
            <w:tcW w:w="4651" w:type="dxa"/>
            <w:tcBorders>
              <w:top w:val="single" w:sz="4" w:space="0" w:color="auto"/>
              <w:lef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80" w:firstLine="0"/>
            </w:pPr>
            <w:r>
              <w:rPr>
                <w:rStyle w:val="Bodytext9pt"/>
              </w:rPr>
              <w:t>Exceeding 900,000= but not exceeding 1,000,000=</w:t>
            </w:r>
          </w:p>
        </w:tc>
        <w:tc>
          <w:tcPr>
            <w:tcW w:w="1661" w:type="dxa"/>
            <w:tcBorders>
              <w:top w:val="single" w:sz="4" w:space="0" w:color="auto"/>
              <w:left w:val="single" w:sz="4" w:space="0" w:color="auto"/>
              <w:righ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right="180" w:firstLine="0"/>
              <w:jc w:val="right"/>
            </w:pPr>
            <w:r>
              <w:rPr>
                <w:rStyle w:val="Bodytext9pt"/>
              </w:rPr>
              <w:t>90,000=</w:t>
            </w:r>
          </w:p>
        </w:tc>
      </w:tr>
      <w:tr w:rsidR="00B53FD4">
        <w:tblPrEx>
          <w:tblCellMar>
            <w:top w:w="0" w:type="dxa"/>
            <w:bottom w:w="0" w:type="dxa"/>
          </w:tblCellMar>
        </w:tblPrEx>
        <w:trPr>
          <w:trHeight w:hRule="exact" w:val="240"/>
          <w:jc w:val="center"/>
        </w:trPr>
        <w:tc>
          <w:tcPr>
            <w:tcW w:w="394" w:type="dxa"/>
            <w:tcBorders>
              <w:top w:val="single" w:sz="4" w:space="0" w:color="auto"/>
              <w:left w:val="single" w:sz="4" w:space="0" w:color="auto"/>
              <w:bottom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100" w:firstLine="0"/>
            </w:pPr>
            <w:r>
              <w:rPr>
                <w:rStyle w:val="Bodytext9pt"/>
              </w:rPr>
              <w:t>10</w:t>
            </w:r>
          </w:p>
        </w:tc>
        <w:tc>
          <w:tcPr>
            <w:tcW w:w="4651" w:type="dxa"/>
            <w:tcBorders>
              <w:top w:val="single" w:sz="4" w:space="0" w:color="auto"/>
              <w:left w:val="single" w:sz="4" w:space="0" w:color="auto"/>
              <w:bottom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left="80" w:firstLine="0"/>
            </w:pPr>
            <w:r>
              <w:rPr>
                <w:rStyle w:val="Bodytext9pt"/>
              </w:rPr>
              <w:t>Exceeding 1,000,000= on wards</w:t>
            </w:r>
          </w:p>
        </w:tc>
        <w:tc>
          <w:tcPr>
            <w:tcW w:w="1661" w:type="dxa"/>
            <w:tcBorders>
              <w:top w:val="single" w:sz="4" w:space="0" w:color="auto"/>
              <w:left w:val="single" w:sz="4" w:space="0" w:color="auto"/>
              <w:bottom w:val="single" w:sz="4" w:space="0" w:color="auto"/>
              <w:right w:val="single" w:sz="4" w:space="0" w:color="auto"/>
            </w:tcBorders>
            <w:shd w:val="clear" w:color="auto" w:fill="FFFFFF"/>
          </w:tcPr>
          <w:p w:rsidR="00B53FD4" w:rsidRDefault="00FF39C6">
            <w:pPr>
              <w:pStyle w:val="Bodytext0"/>
              <w:framePr w:w="6706" w:wrap="notBeside" w:vAnchor="text" w:hAnchor="text" w:xAlign="center" w:y="1"/>
              <w:shd w:val="clear" w:color="auto" w:fill="auto"/>
              <w:spacing w:before="0" w:after="0" w:line="180" w:lineRule="exact"/>
              <w:ind w:right="180" w:firstLine="0"/>
              <w:jc w:val="right"/>
            </w:pPr>
            <w:r>
              <w:rPr>
                <w:rStyle w:val="Bodytext9pt"/>
              </w:rPr>
              <w:t>100,000=</w:t>
            </w:r>
          </w:p>
        </w:tc>
      </w:tr>
    </w:tbl>
    <w:p w:rsidR="00B53FD4" w:rsidRDefault="00B53FD4">
      <w:pPr>
        <w:rPr>
          <w:sz w:val="2"/>
          <w:szCs w:val="2"/>
        </w:rPr>
      </w:pPr>
    </w:p>
    <w:p w:rsidR="00B53FD4" w:rsidRDefault="00B53FD4">
      <w:pPr>
        <w:rPr>
          <w:sz w:val="2"/>
          <w:szCs w:val="2"/>
        </w:rPr>
        <w:sectPr w:rsidR="00B53FD4">
          <w:type w:val="continuous"/>
          <w:pgSz w:w="12240" w:h="15840"/>
          <w:pgMar w:top="2273" w:right="2760" w:bottom="2590" w:left="2765" w:header="0" w:footer="3" w:gutter="0"/>
          <w:cols w:space="720"/>
          <w:noEndnote/>
          <w:docGrid w:linePitch="360"/>
        </w:sectPr>
      </w:pPr>
    </w:p>
    <w:p w:rsidR="00B53FD4" w:rsidRDefault="00FF39C6">
      <w:pPr>
        <w:pStyle w:val="Bodytext0"/>
        <w:shd w:val="clear" w:color="auto" w:fill="auto"/>
        <w:spacing w:before="0" w:after="180" w:line="278" w:lineRule="exact"/>
        <w:ind w:left="20" w:right="40" w:firstLine="480"/>
      </w:pPr>
      <w:r>
        <w:rPr>
          <w:rStyle w:val="Bodytext1"/>
        </w:rPr>
        <w:lastRenderedPageBreak/>
        <w:t xml:space="preserve">(2) In this regulation, “take-home salary” means gross salary after deducting </w:t>
      </w:r>
      <w:r>
        <w:rPr>
          <w:rStyle w:val="Bodytext1"/>
        </w:rPr>
        <w:t>income tax in the form of Pay as You Earn (PAYE).</w:t>
      </w:r>
    </w:p>
    <w:p w:rsidR="00B53FD4" w:rsidRDefault="00FF39C6">
      <w:pPr>
        <w:pStyle w:val="Bodytext0"/>
        <w:numPr>
          <w:ilvl w:val="0"/>
          <w:numId w:val="3"/>
        </w:numPr>
        <w:shd w:val="clear" w:color="auto" w:fill="auto"/>
        <w:tabs>
          <w:tab w:val="left" w:pos="520"/>
        </w:tabs>
        <w:spacing w:before="0" w:after="0" w:line="278" w:lineRule="exact"/>
        <w:ind w:left="520" w:right="40" w:hanging="480"/>
      </w:pPr>
      <w:r>
        <w:rPr>
          <w:rStyle w:val="Bodytext1"/>
        </w:rPr>
        <w:t>Rates of local service tax in respect of self employed professionals</w:t>
      </w:r>
    </w:p>
    <w:p w:rsidR="00B53FD4" w:rsidRDefault="00FF39C6">
      <w:pPr>
        <w:pStyle w:val="Bodytext0"/>
        <w:shd w:val="clear" w:color="auto" w:fill="auto"/>
        <w:spacing w:before="0" w:after="123" w:line="283" w:lineRule="exact"/>
        <w:ind w:left="20" w:right="40" w:firstLine="0"/>
        <w:jc w:val="both"/>
      </w:pPr>
      <w:r>
        <w:rPr>
          <w:rStyle w:val="Bodytext1"/>
        </w:rPr>
        <w:t>The local service tax on self-employed professionals shall be levied as follows—</w:t>
      </w:r>
    </w:p>
    <w:tbl>
      <w:tblPr>
        <w:tblOverlap w:val="never"/>
        <w:tblW w:w="0" w:type="auto"/>
        <w:jc w:val="center"/>
        <w:tblLayout w:type="fixed"/>
        <w:tblCellMar>
          <w:left w:w="10" w:type="dxa"/>
          <w:right w:w="10" w:type="dxa"/>
        </w:tblCellMar>
        <w:tblLook w:val="04A0"/>
      </w:tblPr>
      <w:tblGrid>
        <w:gridCol w:w="326"/>
        <w:gridCol w:w="3014"/>
        <w:gridCol w:w="1661"/>
        <w:gridCol w:w="1680"/>
      </w:tblGrid>
      <w:tr w:rsidR="00B53FD4">
        <w:tblPrEx>
          <w:tblCellMar>
            <w:top w:w="0" w:type="dxa"/>
            <w:bottom w:w="0" w:type="dxa"/>
          </w:tblCellMar>
        </w:tblPrEx>
        <w:trPr>
          <w:trHeight w:hRule="exact" w:val="850"/>
          <w:jc w:val="center"/>
        </w:trPr>
        <w:tc>
          <w:tcPr>
            <w:tcW w:w="326" w:type="dxa"/>
            <w:tcBorders>
              <w:top w:val="single" w:sz="4" w:space="0" w:color="auto"/>
              <w:left w:val="single" w:sz="4" w:space="0" w:color="auto"/>
            </w:tcBorders>
            <w:shd w:val="clear" w:color="auto" w:fill="FFFFFF"/>
          </w:tcPr>
          <w:p w:rsidR="00B53FD4" w:rsidRDefault="00B53FD4">
            <w:pPr>
              <w:framePr w:w="6682" w:wrap="notBeside" w:vAnchor="text" w:hAnchor="text" w:xAlign="center" w:y="1"/>
              <w:rPr>
                <w:sz w:val="10"/>
                <w:szCs w:val="10"/>
              </w:rPr>
            </w:pPr>
          </w:p>
        </w:tc>
        <w:tc>
          <w:tcPr>
            <w:tcW w:w="3014" w:type="dxa"/>
            <w:tcBorders>
              <w:top w:val="single" w:sz="4" w:space="0" w:color="auto"/>
              <w:lef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21" w:lineRule="exact"/>
              <w:ind w:firstLine="0"/>
              <w:jc w:val="both"/>
            </w:pPr>
            <w:r>
              <w:rPr>
                <w:rStyle w:val="Bodytext6"/>
              </w:rPr>
              <w:t xml:space="preserve">Professionals who are self employed and consultants in </w:t>
            </w:r>
            <w:r>
              <w:rPr>
                <w:rStyle w:val="Bodytext6"/>
              </w:rPr>
              <w:t>various fields</w:t>
            </w:r>
          </w:p>
        </w:tc>
        <w:tc>
          <w:tcPr>
            <w:tcW w:w="1661" w:type="dxa"/>
            <w:tcBorders>
              <w:top w:val="single" w:sz="4" w:space="0" w:color="auto"/>
              <w:lef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16" w:lineRule="exact"/>
              <w:ind w:firstLine="0"/>
              <w:jc w:val="both"/>
            </w:pPr>
            <w:r>
              <w:rPr>
                <w:rStyle w:val="Bodytext6"/>
              </w:rPr>
              <w:t>Amount of monthly income earned (in Shs)</w:t>
            </w:r>
          </w:p>
        </w:tc>
        <w:tc>
          <w:tcPr>
            <w:tcW w:w="1680" w:type="dxa"/>
            <w:tcBorders>
              <w:top w:val="single" w:sz="4" w:space="0" w:color="auto"/>
              <w:left w:val="single" w:sz="4" w:space="0" w:color="auto"/>
              <w:righ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21" w:lineRule="exact"/>
              <w:ind w:firstLine="0"/>
              <w:jc w:val="both"/>
            </w:pPr>
            <w:r>
              <w:rPr>
                <w:rStyle w:val="Bodytext6"/>
              </w:rPr>
              <w:t>Rate of local service tax (in Shs) per year</w:t>
            </w:r>
          </w:p>
        </w:tc>
      </w:tr>
      <w:tr w:rsidR="00B53FD4">
        <w:tblPrEx>
          <w:tblCellMar>
            <w:top w:w="0" w:type="dxa"/>
            <w:bottom w:w="0" w:type="dxa"/>
          </w:tblCellMar>
        </w:tblPrEx>
        <w:trPr>
          <w:trHeight w:hRule="exact" w:val="1046"/>
          <w:jc w:val="center"/>
        </w:trPr>
        <w:tc>
          <w:tcPr>
            <w:tcW w:w="326" w:type="dxa"/>
            <w:vMerge w:val="restart"/>
            <w:tcBorders>
              <w:top w:val="single" w:sz="4" w:space="0" w:color="auto"/>
              <w:left w:val="single" w:sz="4" w:space="0" w:color="auto"/>
            </w:tcBorders>
            <w:shd w:val="clear" w:color="auto" w:fill="FFFFFF"/>
          </w:tcPr>
          <w:p w:rsidR="00B53FD4" w:rsidRDefault="00B53FD4">
            <w:pPr>
              <w:framePr w:w="6682" w:wrap="notBeside" w:vAnchor="text" w:hAnchor="text" w:xAlign="center" w:y="1"/>
              <w:rPr>
                <w:sz w:val="10"/>
                <w:szCs w:val="10"/>
              </w:rPr>
            </w:pPr>
          </w:p>
        </w:tc>
        <w:tc>
          <w:tcPr>
            <w:tcW w:w="3014" w:type="dxa"/>
            <w:vMerge w:val="restart"/>
            <w:tcBorders>
              <w:top w:val="single" w:sz="4" w:space="0" w:color="auto"/>
              <w:lef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59" w:lineRule="exact"/>
              <w:ind w:left="80" w:firstLine="0"/>
            </w:pPr>
            <w:r>
              <w:rPr>
                <w:rStyle w:val="Bodytext6"/>
              </w:rPr>
              <w:t xml:space="preserve">Medical and veterinary doctors, engineers, accountants, consultants, technicians, lawyers, dentists, pharmacists, architects, scientists, surveyors, </w:t>
            </w:r>
            <w:r>
              <w:rPr>
                <w:rStyle w:val="Bodytext6"/>
              </w:rPr>
              <w:t>valuers, ICT specialists and any other self-employed professionals not mentioned.</w:t>
            </w:r>
          </w:p>
        </w:tc>
        <w:tc>
          <w:tcPr>
            <w:tcW w:w="1661" w:type="dxa"/>
            <w:tcBorders>
              <w:top w:val="single" w:sz="4" w:space="0" w:color="auto"/>
              <w:lef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30" w:lineRule="exact"/>
              <w:ind w:firstLine="0"/>
              <w:jc w:val="both"/>
            </w:pPr>
            <w:r>
              <w:rPr>
                <w:rStyle w:val="Bodytext6"/>
              </w:rPr>
              <w:t>1,000,000/=</w:t>
            </w:r>
          </w:p>
          <w:p w:rsidR="00B53FD4" w:rsidRDefault="00FF39C6">
            <w:pPr>
              <w:pStyle w:val="Bodytext0"/>
              <w:framePr w:w="6682" w:wrap="notBeside" w:vAnchor="text" w:hAnchor="text" w:xAlign="center" w:y="1"/>
              <w:shd w:val="clear" w:color="auto" w:fill="auto"/>
              <w:spacing w:before="0" w:after="0" w:line="230" w:lineRule="exact"/>
              <w:ind w:firstLine="0"/>
              <w:jc w:val="both"/>
            </w:pPr>
            <w:r>
              <w:rPr>
                <w:rStyle w:val="Bodytext6"/>
              </w:rPr>
              <w:t>onwards</w:t>
            </w:r>
          </w:p>
        </w:tc>
        <w:tc>
          <w:tcPr>
            <w:tcW w:w="1680" w:type="dxa"/>
            <w:tcBorders>
              <w:top w:val="single" w:sz="4" w:space="0" w:color="auto"/>
              <w:left w:val="single" w:sz="4" w:space="0" w:color="auto"/>
              <w:righ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30" w:lineRule="exact"/>
              <w:ind w:firstLine="0"/>
              <w:jc w:val="both"/>
            </w:pPr>
            <w:r>
              <w:rPr>
                <w:rStyle w:val="Bodytext6"/>
              </w:rPr>
              <w:t>100,000/=</w:t>
            </w:r>
          </w:p>
        </w:tc>
      </w:tr>
      <w:tr w:rsidR="00B53FD4">
        <w:tblPrEx>
          <w:tblCellMar>
            <w:top w:w="0" w:type="dxa"/>
            <w:bottom w:w="0" w:type="dxa"/>
          </w:tblCellMar>
        </w:tblPrEx>
        <w:trPr>
          <w:trHeight w:hRule="exact" w:val="1085"/>
          <w:jc w:val="center"/>
        </w:trPr>
        <w:tc>
          <w:tcPr>
            <w:tcW w:w="326" w:type="dxa"/>
            <w:vMerge/>
            <w:tcBorders>
              <w:left w:val="single" w:sz="4" w:space="0" w:color="auto"/>
              <w:bottom w:val="single" w:sz="4" w:space="0" w:color="auto"/>
            </w:tcBorders>
            <w:shd w:val="clear" w:color="auto" w:fill="FFFFFF"/>
          </w:tcPr>
          <w:p w:rsidR="00B53FD4" w:rsidRDefault="00B53FD4">
            <w:pPr>
              <w:framePr w:w="6682" w:wrap="notBeside" w:vAnchor="text" w:hAnchor="text" w:xAlign="center" w:y="1"/>
            </w:pPr>
          </w:p>
        </w:tc>
        <w:tc>
          <w:tcPr>
            <w:tcW w:w="3014" w:type="dxa"/>
            <w:vMerge/>
            <w:tcBorders>
              <w:left w:val="single" w:sz="4" w:space="0" w:color="auto"/>
              <w:bottom w:val="single" w:sz="4" w:space="0" w:color="auto"/>
            </w:tcBorders>
            <w:shd w:val="clear" w:color="auto" w:fill="FFFFFF"/>
          </w:tcPr>
          <w:p w:rsidR="00B53FD4" w:rsidRDefault="00B53FD4">
            <w:pPr>
              <w:framePr w:w="6682" w:wrap="notBeside" w:vAnchor="text" w:hAnchor="text" w:xAlign="center" w:y="1"/>
            </w:pPr>
          </w:p>
        </w:tc>
        <w:tc>
          <w:tcPr>
            <w:tcW w:w="1661" w:type="dxa"/>
            <w:tcBorders>
              <w:top w:val="single" w:sz="4" w:space="0" w:color="auto"/>
              <w:left w:val="single" w:sz="4" w:space="0" w:color="auto"/>
              <w:bottom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16" w:lineRule="exact"/>
              <w:ind w:left="80" w:firstLine="0"/>
            </w:pPr>
            <w:r>
              <w:rPr>
                <w:rStyle w:val="Bodytext6"/>
              </w:rPr>
              <w:t>Exceeding 500,000/= but not exceeding 900,000/=</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rsidR="00B53FD4" w:rsidRDefault="00FF39C6">
            <w:pPr>
              <w:pStyle w:val="Bodytext0"/>
              <w:framePr w:w="6682" w:wrap="notBeside" w:vAnchor="text" w:hAnchor="text" w:xAlign="center" w:y="1"/>
              <w:shd w:val="clear" w:color="auto" w:fill="auto"/>
              <w:spacing w:before="0" w:after="0" w:line="230" w:lineRule="exact"/>
              <w:ind w:firstLine="0"/>
              <w:jc w:val="both"/>
            </w:pPr>
            <w:r>
              <w:rPr>
                <w:rStyle w:val="Bodytext6"/>
              </w:rPr>
              <w:t>50,000/=</w:t>
            </w:r>
          </w:p>
        </w:tc>
      </w:tr>
    </w:tbl>
    <w:p w:rsidR="00B53FD4" w:rsidRDefault="00B53FD4">
      <w:pPr>
        <w:rPr>
          <w:sz w:val="2"/>
          <w:szCs w:val="2"/>
        </w:rPr>
      </w:pPr>
    </w:p>
    <w:p w:rsidR="00B53FD4" w:rsidRDefault="00FF39C6">
      <w:pPr>
        <w:pStyle w:val="Bodytext0"/>
        <w:numPr>
          <w:ilvl w:val="0"/>
          <w:numId w:val="3"/>
        </w:numPr>
        <w:shd w:val="clear" w:color="auto" w:fill="auto"/>
        <w:tabs>
          <w:tab w:val="left" w:pos="495"/>
        </w:tabs>
        <w:spacing w:before="302" w:after="0" w:line="283" w:lineRule="exact"/>
        <w:ind w:left="20" w:firstLine="0"/>
        <w:jc w:val="both"/>
      </w:pPr>
      <w:r>
        <w:rPr>
          <w:rStyle w:val="Bodytext1"/>
        </w:rPr>
        <w:t>Rates of local service tax in respect of self employed artisans</w:t>
      </w:r>
    </w:p>
    <w:p w:rsidR="00B53FD4" w:rsidRDefault="00FF39C6">
      <w:pPr>
        <w:pStyle w:val="Bodytext0"/>
        <w:numPr>
          <w:ilvl w:val="0"/>
          <w:numId w:val="9"/>
        </w:numPr>
        <w:shd w:val="clear" w:color="auto" w:fill="auto"/>
        <w:tabs>
          <w:tab w:val="left" w:pos="898"/>
        </w:tabs>
        <w:spacing w:before="0" w:after="123" w:line="283" w:lineRule="exact"/>
        <w:ind w:left="20" w:right="40" w:firstLine="480"/>
      </w:pPr>
      <w:r>
        <w:rPr>
          <w:rStyle w:val="Bodytext1"/>
        </w:rPr>
        <w:t xml:space="preserve">The local service </w:t>
      </w:r>
      <w:r>
        <w:rPr>
          <w:rStyle w:val="Bodytext1"/>
        </w:rPr>
        <w:t>tax on self employed artisans shall be levied as follows—</w:t>
      </w:r>
    </w:p>
    <w:tbl>
      <w:tblPr>
        <w:tblOverlap w:val="never"/>
        <w:tblW w:w="0" w:type="auto"/>
        <w:jc w:val="center"/>
        <w:tblLayout w:type="fixed"/>
        <w:tblCellMar>
          <w:left w:w="10" w:type="dxa"/>
          <w:right w:w="10" w:type="dxa"/>
        </w:tblCellMar>
        <w:tblLook w:val="04A0"/>
      </w:tblPr>
      <w:tblGrid>
        <w:gridCol w:w="250"/>
        <w:gridCol w:w="2798"/>
        <w:gridCol w:w="2179"/>
        <w:gridCol w:w="1464"/>
      </w:tblGrid>
      <w:tr w:rsidR="00B53FD4">
        <w:tblPrEx>
          <w:tblCellMar>
            <w:top w:w="0" w:type="dxa"/>
            <w:bottom w:w="0" w:type="dxa"/>
          </w:tblCellMar>
        </w:tblPrEx>
        <w:trPr>
          <w:trHeight w:hRule="exact" w:val="1171"/>
          <w:jc w:val="center"/>
        </w:trPr>
        <w:tc>
          <w:tcPr>
            <w:tcW w:w="250" w:type="dxa"/>
            <w:tcBorders>
              <w:top w:val="single" w:sz="4" w:space="0" w:color="auto"/>
              <w:left w:val="single" w:sz="4" w:space="0" w:color="auto"/>
            </w:tcBorders>
            <w:shd w:val="clear" w:color="auto" w:fill="FFFFFF"/>
          </w:tcPr>
          <w:p w:rsidR="00B53FD4" w:rsidRDefault="00B53FD4">
            <w:pPr>
              <w:framePr w:w="6691" w:wrap="notBeside" w:vAnchor="text" w:hAnchor="text" w:xAlign="center" w:y="1"/>
              <w:rPr>
                <w:sz w:val="10"/>
                <w:szCs w:val="10"/>
              </w:rPr>
            </w:pPr>
          </w:p>
        </w:tc>
        <w:tc>
          <w:tcPr>
            <w:tcW w:w="2798" w:type="dxa"/>
            <w:tcBorders>
              <w:top w:val="single" w:sz="4" w:space="0" w:color="auto"/>
              <w:left w:val="single" w:sz="4" w:space="0" w:color="auto"/>
            </w:tcBorders>
            <w:shd w:val="clear" w:color="auto" w:fill="FFFFFF"/>
          </w:tcPr>
          <w:p w:rsidR="00B53FD4" w:rsidRDefault="00FF39C6">
            <w:pPr>
              <w:pStyle w:val="Bodytext0"/>
              <w:framePr w:w="6691" w:wrap="notBeside" w:vAnchor="text" w:hAnchor="text" w:xAlign="center" w:y="1"/>
              <w:shd w:val="clear" w:color="auto" w:fill="auto"/>
              <w:spacing w:before="0" w:after="0" w:line="245" w:lineRule="exact"/>
              <w:ind w:firstLine="0"/>
              <w:jc w:val="both"/>
            </w:pPr>
            <w:r>
              <w:rPr>
                <w:rStyle w:val="Bodytext105pt"/>
              </w:rPr>
              <w:t>Artisans who are self</w:t>
            </w:r>
            <w:r>
              <w:rPr>
                <w:rStyle w:val="Bodytext105pt"/>
              </w:rPr>
              <w:softHyphen/>
              <w:t>employed</w:t>
            </w:r>
          </w:p>
        </w:tc>
        <w:tc>
          <w:tcPr>
            <w:tcW w:w="2179" w:type="dxa"/>
            <w:tcBorders>
              <w:top w:val="single" w:sz="4" w:space="0" w:color="auto"/>
              <w:left w:val="single" w:sz="4" w:space="0" w:color="auto"/>
            </w:tcBorders>
            <w:shd w:val="clear" w:color="auto" w:fill="FFFFFF"/>
          </w:tcPr>
          <w:p w:rsidR="00B53FD4" w:rsidRDefault="00FF39C6">
            <w:pPr>
              <w:pStyle w:val="Bodytext0"/>
              <w:framePr w:w="6691" w:wrap="notBeside" w:vAnchor="text" w:hAnchor="text" w:xAlign="center" w:y="1"/>
              <w:shd w:val="clear" w:color="auto" w:fill="auto"/>
              <w:spacing w:before="0" w:after="0" w:line="240" w:lineRule="exact"/>
              <w:ind w:firstLine="0"/>
              <w:jc w:val="center"/>
            </w:pPr>
            <w:r>
              <w:rPr>
                <w:rStyle w:val="Bodytext105pt"/>
              </w:rPr>
              <w:t>Amount of monthly income earned (in Shs)</w:t>
            </w:r>
          </w:p>
        </w:tc>
        <w:tc>
          <w:tcPr>
            <w:tcW w:w="1464" w:type="dxa"/>
            <w:tcBorders>
              <w:top w:val="single" w:sz="4" w:space="0" w:color="auto"/>
              <w:left w:val="single" w:sz="4" w:space="0" w:color="auto"/>
              <w:right w:val="single" w:sz="4" w:space="0" w:color="auto"/>
            </w:tcBorders>
            <w:shd w:val="clear" w:color="auto" w:fill="FFFFFF"/>
          </w:tcPr>
          <w:p w:rsidR="00B53FD4" w:rsidRDefault="00FF39C6">
            <w:pPr>
              <w:pStyle w:val="Bodytext0"/>
              <w:framePr w:w="6691" w:wrap="notBeside" w:vAnchor="text" w:hAnchor="text" w:xAlign="center" w:y="1"/>
              <w:shd w:val="clear" w:color="auto" w:fill="auto"/>
              <w:spacing w:before="0" w:after="0" w:line="240" w:lineRule="exact"/>
              <w:ind w:firstLine="0"/>
              <w:jc w:val="center"/>
            </w:pPr>
            <w:r>
              <w:rPr>
                <w:rStyle w:val="Bodytext105pt"/>
              </w:rPr>
              <w:t>Rate of local service tax (in Shs) per year</w:t>
            </w:r>
          </w:p>
        </w:tc>
      </w:tr>
      <w:tr w:rsidR="00B53FD4">
        <w:tblPrEx>
          <w:tblCellMar>
            <w:top w:w="0" w:type="dxa"/>
            <w:bottom w:w="0" w:type="dxa"/>
          </w:tblCellMar>
        </w:tblPrEx>
        <w:trPr>
          <w:trHeight w:hRule="exact" w:val="787"/>
          <w:jc w:val="center"/>
        </w:trPr>
        <w:tc>
          <w:tcPr>
            <w:tcW w:w="250" w:type="dxa"/>
            <w:vMerge w:val="restart"/>
            <w:tcBorders>
              <w:top w:val="single" w:sz="4" w:space="0" w:color="auto"/>
              <w:left w:val="single" w:sz="4" w:space="0" w:color="auto"/>
            </w:tcBorders>
            <w:shd w:val="clear" w:color="auto" w:fill="FFFFFF"/>
          </w:tcPr>
          <w:p w:rsidR="00B53FD4" w:rsidRDefault="00B53FD4">
            <w:pPr>
              <w:framePr w:w="6691" w:wrap="notBeside" w:vAnchor="text" w:hAnchor="text" w:xAlign="center" w:y="1"/>
              <w:rPr>
                <w:sz w:val="10"/>
                <w:szCs w:val="10"/>
              </w:rPr>
            </w:pPr>
          </w:p>
        </w:tc>
        <w:tc>
          <w:tcPr>
            <w:tcW w:w="2798" w:type="dxa"/>
            <w:vMerge w:val="restart"/>
            <w:tcBorders>
              <w:top w:val="single" w:sz="4" w:space="0" w:color="auto"/>
              <w:left w:val="single" w:sz="4" w:space="0" w:color="auto"/>
            </w:tcBorders>
            <w:shd w:val="clear" w:color="auto" w:fill="FFFFFF"/>
          </w:tcPr>
          <w:p w:rsidR="00B53FD4" w:rsidRDefault="00FF39C6">
            <w:pPr>
              <w:pStyle w:val="Bodytext0"/>
              <w:framePr w:w="6691" w:wrap="notBeside" w:vAnchor="text" w:hAnchor="text" w:xAlign="center" w:y="1"/>
              <w:shd w:val="clear" w:color="auto" w:fill="auto"/>
              <w:spacing w:before="0" w:after="0" w:line="240" w:lineRule="exact"/>
              <w:ind w:firstLine="0"/>
              <w:jc w:val="both"/>
            </w:pPr>
            <w:r>
              <w:rPr>
                <w:rStyle w:val="Bodytext6"/>
              </w:rPr>
              <w:t xml:space="preserve">Craftsmen, plumbers, builders, electricians, masons, carpenters, mechanics, </w:t>
            </w:r>
            <w:r>
              <w:rPr>
                <w:rStyle w:val="Bodytext6"/>
              </w:rPr>
              <w:t>blacksmiths, painters, welders, bakers, furniture makers, florists, tailors, radio and TV repairers, hair dressers, semi-skilled artisans and any other artisans not mentioned.</w:t>
            </w:r>
          </w:p>
        </w:tc>
        <w:tc>
          <w:tcPr>
            <w:tcW w:w="2179" w:type="dxa"/>
            <w:tcBorders>
              <w:top w:val="single" w:sz="4" w:space="0" w:color="auto"/>
              <w:left w:val="single" w:sz="4" w:space="0" w:color="auto"/>
            </w:tcBorders>
            <w:shd w:val="clear" w:color="auto" w:fill="FFFFFF"/>
          </w:tcPr>
          <w:p w:rsidR="00B53FD4" w:rsidRDefault="00FF39C6">
            <w:pPr>
              <w:pStyle w:val="Bodytext0"/>
              <w:framePr w:w="6691" w:wrap="notBeside" w:vAnchor="text" w:hAnchor="text" w:xAlign="center" w:y="1"/>
              <w:shd w:val="clear" w:color="auto" w:fill="auto"/>
              <w:spacing w:before="0" w:after="0" w:line="221" w:lineRule="exact"/>
              <w:ind w:left="120" w:firstLine="0"/>
            </w:pPr>
            <w:r>
              <w:rPr>
                <w:rStyle w:val="Bodytext6"/>
              </w:rPr>
              <w:t>Exceeding 100,000/= but not exceeding 200,000/=</w:t>
            </w:r>
          </w:p>
        </w:tc>
        <w:tc>
          <w:tcPr>
            <w:tcW w:w="1464" w:type="dxa"/>
            <w:tcBorders>
              <w:top w:val="single" w:sz="4" w:space="0" w:color="auto"/>
              <w:left w:val="single" w:sz="4" w:space="0" w:color="auto"/>
              <w:right w:val="single" w:sz="4" w:space="0" w:color="auto"/>
            </w:tcBorders>
            <w:shd w:val="clear" w:color="auto" w:fill="FFFFFF"/>
          </w:tcPr>
          <w:p w:rsidR="00B53FD4" w:rsidRDefault="00FF39C6">
            <w:pPr>
              <w:pStyle w:val="Bodytext0"/>
              <w:framePr w:w="6691" w:wrap="notBeside" w:vAnchor="text" w:hAnchor="text" w:xAlign="center" w:y="1"/>
              <w:shd w:val="clear" w:color="auto" w:fill="auto"/>
              <w:spacing w:before="0" w:after="0" w:line="230" w:lineRule="exact"/>
              <w:ind w:right="120" w:firstLine="0"/>
              <w:jc w:val="right"/>
            </w:pPr>
            <w:r>
              <w:rPr>
                <w:rStyle w:val="Bodytext6"/>
              </w:rPr>
              <w:t>5,000/=</w:t>
            </w:r>
          </w:p>
        </w:tc>
      </w:tr>
      <w:tr w:rsidR="00B53FD4">
        <w:tblPrEx>
          <w:tblCellMar>
            <w:top w:w="0" w:type="dxa"/>
            <w:bottom w:w="0" w:type="dxa"/>
          </w:tblCellMar>
        </w:tblPrEx>
        <w:trPr>
          <w:trHeight w:hRule="exact" w:val="758"/>
          <w:jc w:val="center"/>
        </w:trPr>
        <w:tc>
          <w:tcPr>
            <w:tcW w:w="250" w:type="dxa"/>
            <w:vMerge/>
            <w:tcBorders>
              <w:left w:val="single" w:sz="4" w:space="0" w:color="auto"/>
            </w:tcBorders>
            <w:shd w:val="clear" w:color="auto" w:fill="FFFFFF"/>
          </w:tcPr>
          <w:p w:rsidR="00B53FD4" w:rsidRDefault="00B53FD4">
            <w:pPr>
              <w:framePr w:w="6691" w:wrap="notBeside" w:vAnchor="text" w:hAnchor="text" w:xAlign="center" w:y="1"/>
            </w:pPr>
          </w:p>
        </w:tc>
        <w:tc>
          <w:tcPr>
            <w:tcW w:w="2798" w:type="dxa"/>
            <w:vMerge/>
            <w:tcBorders>
              <w:left w:val="single" w:sz="4" w:space="0" w:color="auto"/>
            </w:tcBorders>
            <w:shd w:val="clear" w:color="auto" w:fill="FFFFFF"/>
          </w:tcPr>
          <w:p w:rsidR="00B53FD4" w:rsidRDefault="00B53FD4">
            <w:pPr>
              <w:framePr w:w="6691" w:wrap="notBeside" w:vAnchor="text" w:hAnchor="text" w:xAlign="center" w:y="1"/>
            </w:pPr>
          </w:p>
        </w:tc>
        <w:tc>
          <w:tcPr>
            <w:tcW w:w="2179" w:type="dxa"/>
            <w:tcBorders>
              <w:top w:val="single" w:sz="4" w:space="0" w:color="auto"/>
              <w:left w:val="single" w:sz="4" w:space="0" w:color="auto"/>
            </w:tcBorders>
            <w:shd w:val="clear" w:color="auto" w:fill="FFFFFF"/>
          </w:tcPr>
          <w:p w:rsidR="00B53FD4" w:rsidRDefault="00FF39C6">
            <w:pPr>
              <w:pStyle w:val="Bodytext0"/>
              <w:framePr w:w="6691" w:wrap="notBeside" w:vAnchor="text" w:hAnchor="text" w:xAlign="center" w:y="1"/>
              <w:shd w:val="clear" w:color="auto" w:fill="auto"/>
              <w:spacing w:before="0" w:after="0" w:line="240" w:lineRule="exact"/>
              <w:ind w:firstLine="0"/>
              <w:jc w:val="center"/>
            </w:pPr>
            <w:r>
              <w:rPr>
                <w:rStyle w:val="Bodytext6"/>
              </w:rPr>
              <w:t xml:space="preserve">200,000/= but not </w:t>
            </w:r>
            <w:r>
              <w:rPr>
                <w:rStyle w:val="Bodytext6"/>
              </w:rPr>
              <w:t>exceeding 300,000/=</w:t>
            </w:r>
          </w:p>
        </w:tc>
        <w:tc>
          <w:tcPr>
            <w:tcW w:w="1464" w:type="dxa"/>
            <w:tcBorders>
              <w:top w:val="single" w:sz="4" w:space="0" w:color="auto"/>
              <w:left w:val="single" w:sz="4" w:space="0" w:color="auto"/>
              <w:right w:val="single" w:sz="4" w:space="0" w:color="auto"/>
            </w:tcBorders>
            <w:shd w:val="clear" w:color="auto" w:fill="FFFFFF"/>
          </w:tcPr>
          <w:p w:rsidR="00B53FD4" w:rsidRDefault="00FF39C6">
            <w:pPr>
              <w:pStyle w:val="Bodytext0"/>
              <w:framePr w:w="6691" w:wrap="notBeside" w:vAnchor="text" w:hAnchor="text" w:xAlign="center" w:y="1"/>
              <w:shd w:val="clear" w:color="auto" w:fill="auto"/>
              <w:spacing w:before="0" w:after="0" w:line="230" w:lineRule="exact"/>
              <w:ind w:right="120" w:firstLine="0"/>
              <w:jc w:val="right"/>
            </w:pPr>
            <w:r>
              <w:rPr>
                <w:rStyle w:val="Bodytext6"/>
              </w:rPr>
              <w:t>10,000/=</w:t>
            </w:r>
          </w:p>
        </w:tc>
      </w:tr>
      <w:tr w:rsidR="00B53FD4">
        <w:tblPrEx>
          <w:tblCellMar>
            <w:top w:w="0" w:type="dxa"/>
            <w:bottom w:w="0" w:type="dxa"/>
          </w:tblCellMar>
        </w:tblPrEx>
        <w:trPr>
          <w:trHeight w:hRule="exact" w:val="1003"/>
          <w:jc w:val="center"/>
        </w:trPr>
        <w:tc>
          <w:tcPr>
            <w:tcW w:w="250" w:type="dxa"/>
            <w:vMerge/>
            <w:tcBorders>
              <w:left w:val="single" w:sz="4" w:space="0" w:color="auto"/>
              <w:bottom w:val="single" w:sz="4" w:space="0" w:color="auto"/>
            </w:tcBorders>
            <w:shd w:val="clear" w:color="auto" w:fill="FFFFFF"/>
          </w:tcPr>
          <w:p w:rsidR="00B53FD4" w:rsidRDefault="00B53FD4">
            <w:pPr>
              <w:framePr w:w="6691" w:wrap="notBeside" w:vAnchor="text" w:hAnchor="text" w:xAlign="center" w:y="1"/>
            </w:pPr>
          </w:p>
        </w:tc>
        <w:tc>
          <w:tcPr>
            <w:tcW w:w="2798" w:type="dxa"/>
            <w:vMerge/>
            <w:tcBorders>
              <w:left w:val="single" w:sz="4" w:space="0" w:color="auto"/>
              <w:bottom w:val="single" w:sz="4" w:space="0" w:color="auto"/>
            </w:tcBorders>
            <w:shd w:val="clear" w:color="auto" w:fill="FFFFFF"/>
          </w:tcPr>
          <w:p w:rsidR="00B53FD4" w:rsidRDefault="00B53FD4">
            <w:pPr>
              <w:framePr w:w="6691" w:wrap="notBeside" w:vAnchor="text" w:hAnchor="text" w:xAlign="center" w:y="1"/>
            </w:pPr>
          </w:p>
        </w:tc>
        <w:tc>
          <w:tcPr>
            <w:tcW w:w="2179" w:type="dxa"/>
            <w:tcBorders>
              <w:top w:val="single" w:sz="4" w:space="0" w:color="auto"/>
              <w:left w:val="single" w:sz="4" w:space="0" w:color="auto"/>
              <w:bottom w:val="single" w:sz="4" w:space="0" w:color="auto"/>
            </w:tcBorders>
            <w:shd w:val="clear" w:color="auto" w:fill="FFFFFF"/>
          </w:tcPr>
          <w:p w:rsidR="00B53FD4" w:rsidRDefault="00FF39C6">
            <w:pPr>
              <w:pStyle w:val="Bodytext0"/>
              <w:framePr w:w="6691" w:wrap="notBeside" w:vAnchor="text" w:hAnchor="text" w:xAlign="center" w:y="1"/>
              <w:shd w:val="clear" w:color="auto" w:fill="auto"/>
              <w:spacing w:before="0" w:after="0" w:line="240" w:lineRule="exact"/>
              <w:ind w:left="120" w:firstLine="0"/>
            </w:pPr>
            <w:r>
              <w:rPr>
                <w:rStyle w:val="Bodytext6"/>
              </w:rPr>
              <w:t>exceeding 300,000/= onwards</w:t>
            </w: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B53FD4" w:rsidRDefault="00FF39C6">
            <w:pPr>
              <w:pStyle w:val="Bodytext0"/>
              <w:framePr w:w="6691" w:wrap="notBeside" w:vAnchor="text" w:hAnchor="text" w:xAlign="center" w:y="1"/>
              <w:shd w:val="clear" w:color="auto" w:fill="auto"/>
              <w:spacing w:before="0" w:after="0" w:line="230" w:lineRule="exact"/>
              <w:ind w:right="120" w:firstLine="0"/>
              <w:jc w:val="right"/>
            </w:pPr>
            <w:r>
              <w:rPr>
                <w:rStyle w:val="Bodytext6"/>
              </w:rPr>
              <w:t>20,000/=</w:t>
            </w:r>
          </w:p>
        </w:tc>
      </w:tr>
    </w:tbl>
    <w:p w:rsidR="00B53FD4" w:rsidRDefault="00B53FD4">
      <w:pPr>
        <w:rPr>
          <w:sz w:val="2"/>
          <w:szCs w:val="2"/>
        </w:rPr>
      </w:pPr>
    </w:p>
    <w:p w:rsidR="00B53FD4" w:rsidRDefault="00FF39C6">
      <w:pPr>
        <w:pStyle w:val="Bodytext0"/>
        <w:numPr>
          <w:ilvl w:val="0"/>
          <w:numId w:val="9"/>
        </w:numPr>
        <w:shd w:val="clear" w:color="auto" w:fill="auto"/>
        <w:tabs>
          <w:tab w:val="left" w:pos="860"/>
        </w:tabs>
        <w:spacing w:before="0" w:after="240" w:line="278" w:lineRule="exact"/>
        <w:ind w:left="20" w:right="40" w:firstLine="480"/>
        <w:jc w:val="both"/>
      </w:pPr>
      <w:r>
        <w:rPr>
          <w:rStyle w:val="Bodytext1"/>
        </w:rPr>
        <w:t>For the avoidance of doubt, all the professionals, technicians, consultants and artisans who are in gainful employment and earn a monthly salary shall pay local service tax according to</w:t>
      </w:r>
      <w:r>
        <w:rPr>
          <w:rStyle w:val="Bodytext1"/>
        </w:rPr>
        <w:t xml:space="preserve"> their monthly salary.</w:t>
      </w:r>
    </w:p>
    <w:p w:rsidR="00B53FD4" w:rsidRDefault="00FF39C6">
      <w:pPr>
        <w:pStyle w:val="Bodytext0"/>
        <w:numPr>
          <w:ilvl w:val="0"/>
          <w:numId w:val="3"/>
        </w:numPr>
        <w:shd w:val="clear" w:color="auto" w:fill="auto"/>
        <w:tabs>
          <w:tab w:val="left" w:pos="495"/>
        </w:tabs>
        <w:spacing w:before="0" w:after="0" w:line="278" w:lineRule="exact"/>
        <w:ind w:left="20" w:firstLine="0"/>
        <w:jc w:val="both"/>
      </w:pPr>
      <w:r>
        <w:rPr>
          <w:rStyle w:val="Bodytext1"/>
        </w:rPr>
        <w:t>Rates of local service tax in respect of businessmen and</w:t>
      </w:r>
    </w:p>
    <w:p w:rsidR="00B53FD4" w:rsidRDefault="00FF39C6">
      <w:pPr>
        <w:pStyle w:val="Bodytext0"/>
        <w:shd w:val="clear" w:color="auto" w:fill="auto"/>
        <w:spacing w:before="0" w:after="0" w:line="278" w:lineRule="exact"/>
        <w:ind w:left="20" w:firstLine="480"/>
        <w:jc w:val="both"/>
      </w:pPr>
      <w:r>
        <w:rPr>
          <w:rStyle w:val="Bodytext1"/>
        </w:rPr>
        <w:t>business women</w:t>
      </w:r>
    </w:p>
    <w:p w:rsidR="00B53FD4" w:rsidRDefault="00FF39C6">
      <w:pPr>
        <w:pStyle w:val="Bodytext0"/>
        <w:shd w:val="clear" w:color="auto" w:fill="auto"/>
        <w:spacing w:before="0" w:after="64" w:line="278" w:lineRule="exact"/>
        <w:ind w:left="20" w:right="40" w:firstLine="0"/>
        <w:jc w:val="both"/>
      </w:pPr>
      <w:r>
        <w:rPr>
          <w:rStyle w:val="Bodytext1"/>
        </w:rPr>
        <w:t xml:space="preserve">The local service tax on businessmen and business women including </w:t>
      </w:r>
      <w:r>
        <w:rPr>
          <w:rStyle w:val="Bodytext1"/>
        </w:rPr>
        <w:lastRenderedPageBreak/>
        <w:t xml:space="preserve">owners of shops, fuel stations, restaurants, bars, furniture workshops, printery workshops, </w:t>
      </w:r>
      <w:r>
        <w:rPr>
          <w:rStyle w:val="Bodytext1"/>
        </w:rPr>
        <w:t>directors and shareholders of business companies, food vendors, commission agents, insurance brokers, butchers, real estate service providers, owners of road construction firms, outside-catering service providers, coffee millers, maize millers, fish monger</w:t>
      </w:r>
      <w:r>
        <w:rPr>
          <w:rStyle w:val="Bodytext1"/>
        </w:rPr>
        <w:t>s, timber merchants, garage owners and shoe makers and any other businessmen and business women not mentioned shall be levied as follows—</w:t>
      </w:r>
    </w:p>
    <w:tbl>
      <w:tblPr>
        <w:tblOverlap w:val="never"/>
        <w:tblW w:w="0" w:type="auto"/>
        <w:jc w:val="center"/>
        <w:tblLayout w:type="fixed"/>
        <w:tblCellMar>
          <w:left w:w="10" w:type="dxa"/>
          <w:right w:w="10" w:type="dxa"/>
        </w:tblCellMar>
        <w:tblLook w:val="04A0"/>
      </w:tblPr>
      <w:tblGrid>
        <w:gridCol w:w="322"/>
        <w:gridCol w:w="5040"/>
        <w:gridCol w:w="1296"/>
      </w:tblGrid>
      <w:tr w:rsidR="00B53FD4">
        <w:tblPrEx>
          <w:tblCellMar>
            <w:top w:w="0" w:type="dxa"/>
            <w:bottom w:w="0" w:type="dxa"/>
          </w:tblCellMar>
        </w:tblPrEx>
        <w:trPr>
          <w:trHeight w:hRule="exact" w:val="1090"/>
          <w:jc w:val="center"/>
        </w:trPr>
        <w:tc>
          <w:tcPr>
            <w:tcW w:w="322" w:type="dxa"/>
            <w:tcBorders>
              <w:top w:val="single" w:sz="4" w:space="0" w:color="auto"/>
              <w:left w:val="single" w:sz="4" w:space="0" w:color="auto"/>
            </w:tcBorders>
            <w:shd w:val="clear" w:color="auto" w:fill="FFFFFF"/>
          </w:tcPr>
          <w:p w:rsidR="00B53FD4" w:rsidRDefault="00B53FD4">
            <w:pPr>
              <w:framePr w:w="6658" w:wrap="notBeside" w:vAnchor="text" w:hAnchor="text" w:xAlign="center" w:y="1"/>
              <w:rPr>
                <w:sz w:val="10"/>
                <w:szCs w:val="10"/>
              </w:rPr>
            </w:pPr>
          </w:p>
        </w:tc>
        <w:tc>
          <w:tcPr>
            <w:tcW w:w="5040"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10" w:lineRule="exact"/>
              <w:ind w:left="40" w:firstLine="0"/>
            </w:pPr>
            <w:r>
              <w:rPr>
                <w:rStyle w:val="Bodytext105pt"/>
              </w:rPr>
              <w:t>Monthly turnover (in Shs)</w:t>
            </w:r>
          </w:p>
        </w:tc>
        <w:tc>
          <w:tcPr>
            <w:tcW w:w="1296" w:type="dxa"/>
            <w:tcBorders>
              <w:top w:val="single" w:sz="4" w:space="0" w:color="auto"/>
              <w:left w:val="single" w:sz="4" w:space="0" w:color="auto"/>
              <w:righ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197" w:lineRule="exact"/>
              <w:ind w:firstLine="0"/>
              <w:jc w:val="center"/>
            </w:pPr>
            <w:r>
              <w:rPr>
                <w:rStyle w:val="Bodytext105pt"/>
              </w:rPr>
              <w:t>Rate of local service tax (in Shs) per year</w:t>
            </w:r>
          </w:p>
        </w:tc>
      </w:tr>
      <w:tr w:rsidR="00B53FD4">
        <w:tblPrEx>
          <w:tblCellMar>
            <w:top w:w="0" w:type="dxa"/>
            <w:bottom w:w="0" w:type="dxa"/>
          </w:tblCellMar>
        </w:tblPrEx>
        <w:trPr>
          <w:trHeight w:hRule="exact" w:val="403"/>
          <w:jc w:val="center"/>
        </w:trPr>
        <w:tc>
          <w:tcPr>
            <w:tcW w:w="322"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60" w:firstLine="0"/>
            </w:pPr>
            <w:r>
              <w:rPr>
                <w:rStyle w:val="Bodytext6"/>
              </w:rPr>
              <w:t>1</w:t>
            </w:r>
          </w:p>
        </w:tc>
        <w:tc>
          <w:tcPr>
            <w:tcW w:w="5040"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40" w:firstLine="0"/>
            </w:pPr>
            <w:r>
              <w:rPr>
                <w:rStyle w:val="Bodytext6"/>
              </w:rPr>
              <w:t>500,000/= but not exceeding 1,000,000/=</w:t>
            </w:r>
          </w:p>
        </w:tc>
        <w:tc>
          <w:tcPr>
            <w:tcW w:w="1296" w:type="dxa"/>
            <w:tcBorders>
              <w:top w:val="single" w:sz="4" w:space="0" w:color="auto"/>
              <w:left w:val="single" w:sz="4" w:space="0" w:color="auto"/>
              <w:righ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firstLine="0"/>
              <w:jc w:val="center"/>
            </w:pPr>
            <w:r>
              <w:rPr>
                <w:rStyle w:val="Bodytext6"/>
              </w:rPr>
              <w:t>5,000/=</w:t>
            </w:r>
          </w:p>
        </w:tc>
      </w:tr>
      <w:tr w:rsidR="00B53FD4">
        <w:tblPrEx>
          <w:tblCellMar>
            <w:top w:w="0" w:type="dxa"/>
            <w:bottom w:w="0" w:type="dxa"/>
          </w:tblCellMar>
        </w:tblPrEx>
        <w:trPr>
          <w:trHeight w:hRule="exact" w:val="403"/>
          <w:jc w:val="center"/>
        </w:trPr>
        <w:tc>
          <w:tcPr>
            <w:tcW w:w="322"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60" w:firstLine="0"/>
            </w:pPr>
            <w:r>
              <w:rPr>
                <w:rStyle w:val="Bodytext6"/>
              </w:rPr>
              <w:t>2</w:t>
            </w:r>
          </w:p>
        </w:tc>
        <w:tc>
          <w:tcPr>
            <w:tcW w:w="5040"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40" w:firstLine="0"/>
            </w:pPr>
            <w:r>
              <w:rPr>
                <w:rStyle w:val="Bodytext6"/>
              </w:rPr>
              <w:t>Exceeding 1,000,000/= but not exceeding 2,000,000/=</w:t>
            </w:r>
          </w:p>
        </w:tc>
        <w:tc>
          <w:tcPr>
            <w:tcW w:w="1296" w:type="dxa"/>
            <w:tcBorders>
              <w:top w:val="single" w:sz="4" w:space="0" w:color="auto"/>
              <w:left w:val="single" w:sz="4" w:space="0" w:color="auto"/>
              <w:righ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firstLine="0"/>
              <w:jc w:val="center"/>
            </w:pPr>
            <w:r>
              <w:rPr>
                <w:rStyle w:val="Bodytext6"/>
              </w:rPr>
              <w:t>10,000/=</w:t>
            </w:r>
          </w:p>
        </w:tc>
      </w:tr>
      <w:tr w:rsidR="00B53FD4">
        <w:tblPrEx>
          <w:tblCellMar>
            <w:top w:w="0" w:type="dxa"/>
            <w:bottom w:w="0" w:type="dxa"/>
          </w:tblCellMar>
        </w:tblPrEx>
        <w:trPr>
          <w:trHeight w:hRule="exact" w:val="403"/>
          <w:jc w:val="center"/>
        </w:trPr>
        <w:tc>
          <w:tcPr>
            <w:tcW w:w="322"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60" w:firstLine="0"/>
            </w:pPr>
            <w:r>
              <w:rPr>
                <w:rStyle w:val="Bodytext6"/>
              </w:rPr>
              <w:t>3</w:t>
            </w:r>
          </w:p>
        </w:tc>
        <w:tc>
          <w:tcPr>
            <w:tcW w:w="5040"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40" w:firstLine="0"/>
            </w:pPr>
            <w:r>
              <w:rPr>
                <w:rStyle w:val="Bodytext6"/>
              </w:rPr>
              <w:t>Exceeding 2,000,000/= but not exceeding 3,000,000/=</w:t>
            </w:r>
          </w:p>
        </w:tc>
        <w:tc>
          <w:tcPr>
            <w:tcW w:w="1296" w:type="dxa"/>
            <w:tcBorders>
              <w:top w:val="single" w:sz="4" w:space="0" w:color="auto"/>
              <w:left w:val="single" w:sz="4" w:space="0" w:color="auto"/>
              <w:righ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firstLine="0"/>
              <w:jc w:val="center"/>
            </w:pPr>
            <w:r>
              <w:rPr>
                <w:rStyle w:val="Bodytext6"/>
              </w:rPr>
              <w:t>20,000/=</w:t>
            </w:r>
          </w:p>
        </w:tc>
      </w:tr>
      <w:tr w:rsidR="00B53FD4">
        <w:tblPrEx>
          <w:tblCellMar>
            <w:top w:w="0" w:type="dxa"/>
            <w:bottom w:w="0" w:type="dxa"/>
          </w:tblCellMar>
        </w:tblPrEx>
        <w:trPr>
          <w:trHeight w:hRule="exact" w:val="398"/>
          <w:jc w:val="center"/>
        </w:trPr>
        <w:tc>
          <w:tcPr>
            <w:tcW w:w="322"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60" w:firstLine="0"/>
            </w:pPr>
            <w:r>
              <w:rPr>
                <w:rStyle w:val="Bodytext6"/>
              </w:rPr>
              <w:t>4</w:t>
            </w:r>
          </w:p>
        </w:tc>
        <w:tc>
          <w:tcPr>
            <w:tcW w:w="5040"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40" w:firstLine="0"/>
            </w:pPr>
            <w:r>
              <w:rPr>
                <w:rStyle w:val="Bodytext6"/>
              </w:rPr>
              <w:t>Exceeding 3,000,000/= but not exceeding 4,000,000/=</w:t>
            </w:r>
          </w:p>
        </w:tc>
        <w:tc>
          <w:tcPr>
            <w:tcW w:w="1296" w:type="dxa"/>
            <w:tcBorders>
              <w:top w:val="single" w:sz="4" w:space="0" w:color="auto"/>
              <w:left w:val="single" w:sz="4" w:space="0" w:color="auto"/>
              <w:righ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firstLine="0"/>
              <w:jc w:val="center"/>
            </w:pPr>
            <w:r>
              <w:rPr>
                <w:rStyle w:val="Bodytext6"/>
              </w:rPr>
              <w:t>30,000/=</w:t>
            </w:r>
          </w:p>
        </w:tc>
      </w:tr>
      <w:tr w:rsidR="00B53FD4">
        <w:tblPrEx>
          <w:tblCellMar>
            <w:top w:w="0" w:type="dxa"/>
            <w:bottom w:w="0" w:type="dxa"/>
          </w:tblCellMar>
        </w:tblPrEx>
        <w:trPr>
          <w:trHeight w:hRule="exact" w:val="403"/>
          <w:jc w:val="center"/>
        </w:trPr>
        <w:tc>
          <w:tcPr>
            <w:tcW w:w="322"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60" w:firstLine="0"/>
            </w:pPr>
            <w:r>
              <w:rPr>
                <w:rStyle w:val="Bodytext6"/>
              </w:rPr>
              <w:t>5</w:t>
            </w:r>
          </w:p>
        </w:tc>
        <w:tc>
          <w:tcPr>
            <w:tcW w:w="5040"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40" w:firstLine="0"/>
            </w:pPr>
            <w:r>
              <w:rPr>
                <w:rStyle w:val="Bodytext6"/>
              </w:rPr>
              <w:t>Exceeding 4,000,000/= but not exceeding 5,000,000/=</w:t>
            </w:r>
          </w:p>
        </w:tc>
        <w:tc>
          <w:tcPr>
            <w:tcW w:w="1296" w:type="dxa"/>
            <w:tcBorders>
              <w:top w:val="single" w:sz="4" w:space="0" w:color="auto"/>
              <w:left w:val="single" w:sz="4" w:space="0" w:color="auto"/>
              <w:righ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firstLine="0"/>
              <w:jc w:val="center"/>
            </w:pPr>
            <w:r>
              <w:rPr>
                <w:rStyle w:val="Bodytext6"/>
              </w:rPr>
              <w:t>40,000/=</w:t>
            </w:r>
          </w:p>
        </w:tc>
      </w:tr>
      <w:tr w:rsidR="00B53FD4">
        <w:tblPrEx>
          <w:tblCellMar>
            <w:top w:w="0" w:type="dxa"/>
            <w:bottom w:w="0" w:type="dxa"/>
          </w:tblCellMar>
        </w:tblPrEx>
        <w:trPr>
          <w:trHeight w:hRule="exact" w:val="403"/>
          <w:jc w:val="center"/>
        </w:trPr>
        <w:tc>
          <w:tcPr>
            <w:tcW w:w="322"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60" w:firstLine="0"/>
            </w:pPr>
            <w:r>
              <w:rPr>
                <w:rStyle w:val="Bodytext6"/>
              </w:rPr>
              <w:t>6</w:t>
            </w:r>
          </w:p>
        </w:tc>
        <w:tc>
          <w:tcPr>
            <w:tcW w:w="5040"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40" w:firstLine="0"/>
            </w:pPr>
            <w:r>
              <w:rPr>
                <w:rStyle w:val="Bodytext6"/>
              </w:rPr>
              <w:t>Exceeding 5,000,000/= but not exceeding 6,000,000/=</w:t>
            </w:r>
          </w:p>
        </w:tc>
        <w:tc>
          <w:tcPr>
            <w:tcW w:w="1296" w:type="dxa"/>
            <w:tcBorders>
              <w:top w:val="single" w:sz="4" w:space="0" w:color="auto"/>
              <w:left w:val="single" w:sz="4" w:space="0" w:color="auto"/>
              <w:righ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firstLine="0"/>
              <w:jc w:val="center"/>
            </w:pPr>
            <w:r>
              <w:rPr>
                <w:rStyle w:val="Bodytext6"/>
              </w:rPr>
              <w:t>50,000/=</w:t>
            </w:r>
          </w:p>
        </w:tc>
      </w:tr>
      <w:tr w:rsidR="00B53FD4">
        <w:tblPrEx>
          <w:tblCellMar>
            <w:top w:w="0" w:type="dxa"/>
            <w:bottom w:w="0" w:type="dxa"/>
          </w:tblCellMar>
        </w:tblPrEx>
        <w:trPr>
          <w:trHeight w:hRule="exact" w:val="403"/>
          <w:jc w:val="center"/>
        </w:trPr>
        <w:tc>
          <w:tcPr>
            <w:tcW w:w="322"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60" w:firstLine="0"/>
            </w:pPr>
            <w:r>
              <w:rPr>
                <w:rStyle w:val="Bodytext6"/>
              </w:rPr>
              <w:t>7</w:t>
            </w:r>
          </w:p>
        </w:tc>
        <w:tc>
          <w:tcPr>
            <w:tcW w:w="5040"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40" w:firstLine="0"/>
            </w:pPr>
            <w:r>
              <w:rPr>
                <w:rStyle w:val="Bodytext6"/>
              </w:rPr>
              <w:t>Exceeding 6,000,000/= but not exceeding 7,000,000/=</w:t>
            </w:r>
          </w:p>
        </w:tc>
        <w:tc>
          <w:tcPr>
            <w:tcW w:w="1296" w:type="dxa"/>
            <w:tcBorders>
              <w:top w:val="single" w:sz="4" w:space="0" w:color="auto"/>
              <w:left w:val="single" w:sz="4" w:space="0" w:color="auto"/>
              <w:righ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firstLine="0"/>
              <w:jc w:val="center"/>
            </w:pPr>
            <w:r>
              <w:rPr>
                <w:rStyle w:val="Bodytext6"/>
              </w:rPr>
              <w:t>60,000/=</w:t>
            </w:r>
          </w:p>
        </w:tc>
      </w:tr>
      <w:tr w:rsidR="00B53FD4">
        <w:tblPrEx>
          <w:tblCellMar>
            <w:top w:w="0" w:type="dxa"/>
            <w:bottom w:w="0" w:type="dxa"/>
          </w:tblCellMar>
        </w:tblPrEx>
        <w:trPr>
          <w:trHeight w:hRule="exact" w:val="398"/>
          <w:jc w:val="center"/>
        </w:trPr>
        <w:tc>
          <w:tcPr>
            <w:tcW w:w="322"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60" w:firstLine="0"/>
            </w:pPr>
            <w:r>
              <w:rPr>
                <w:rStyle w:val="Bodytext6"/>
              </w:rPr>
              <w:t>8</w:t>
            </w:r>
          </w:p>
        </w:tc>
        <w:tc>
          <w:tcPr>
            <w:tcW w:w="5040"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40" w:firstLine="0"/>
            </w:pPr>
            <w:r>
              <w:rPr>
                <w:rStyle w:val="Bodytext6"/>
              </w:rPr>
              <w:t>Exceeding 7,000,000/= but not exceeding 8,000,000/=</w:t>
            </w:r>
          </w:p>
        </w:tc>
        <w:tc>
          <w:tcPr>
            <w:tcW w:w="1296" w:type="dxa"/>
            <w:tcBorders>
              <w:top w:val="single" w:sz="4" w:space="0" w:color="auto"/>
              <w:left w:val="single" w:sz="4" w:space="0" w:color="auto"/>
              <w:righ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firstLine="0"/>
              <w:jc w:val="center"/>
            </w:pPr>
            <w:r>
              <w:rPr>
                <w:rStyle w:val="Bodytext6"/>
              </w:rPr>
              <w:t>70,000/=</w:t>
            </w:r>
          </w:p>
        </w:tc>
      </w:tr>
      <w:tr w:rsidR="00B53FD4">
        <w:tblPrEx>
          <w:tblCellMar>
            <w:top w:w="0" w:type="dxa"/>
            <w:bottom w:w="0" w:type="dxa"/>
          </w:tblCellMar>
        </w:tblPrEx>
        <w:trPr>
          <w:trHeight w:hRule="exact" w:val="403"/>
          <w:jc w:val="center"/>
        </w:trPr>
        <w:tc>
          <w:tcPr>
            <w:tcW w:w="322"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60" w:firstLine="0"/>
            </w:pPr>
            <w:r>
              <w:rPr>
                <w:rStyle w:val="Bodytext6"/>
              </w:rPr>
              <w:t>9</w:t>
            </w:r>
          </w:p>
        </w:tc>
        <w:tc>
          <w:tcPr>
            <w:tcW w:w="5040"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40" w:firstLine="0"/>
            </w:pPr>
            <w:r>
              <w:rPr>
                <w:rStyle w:val="Bodytext6"/>
              </w:rPr>
              <w:t>Exceeding 8,000,000/= but not exceeding 9,000,000/=</w:t>
            </w:r>
          </w:p>
        </w:tc>
        <w:tc>
          <w:tcPr>
            <w:tcW w:w="1296" w:type="dxa"/>
            <w:tcBorders>
              <w:top w:val="single" w:sz="4" w:space="0" w:color="auto"/>
              <w:left w:val="single" w:sz="4" w:space="0" w:color="auto"/>
              <w:righ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firstLine="0"/>
              <w:jc w:val="center"/>
            </w:pPr>
            <w:r>
              <w:rPr>
                <w:rStyle w:val="Bodytext6"/>
              </w:rPr>
              <w:t>80,000/=</w:t>
            </w:r>
          </w:p>
        </w:tc>
      </w:tr>
      <w:tr w:rsidR="00B53FD4">
        <w:tblPrEx>
          <w:tblCellMar>
            <w:top w:w="0" w:type="dxa"/>
            <w:bottom w:w="0" w:type="dxa"/>
          </w:tblCellMar>
        </w:tblPrEx>
        <w:trPr>
          <w:trHeight w:hRule="exact" w:val="403"/>
          <w:jc w:val="center"/>
        </w:trPr>
        <w:tc>
          <w:tcPr>
            <w:tcW w:w="322"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60" w:firstLine="0"/>
            </w:pPr>
            <w:r>
              <w:rPr>
                <w:rStyle w:val="Bodytext6"/>
              </w:rPr>
              <w:t>10</w:t>
            </w:r>
          </w:p>
        </w:tc>
        <w:tc>
          <w:tcPr>
            <w:tcW w:w="5040" w:type="dxa"/>
            <w:tcBorders>
              <w:top w:val="single" w:sz="4" w:space="0" w:color="auto"/>
              <w:lef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40" w:firstLine="0"/>
            </w:pPr>
            <w:r>
              <w:rPr>
                <w:rStyle w:val="Bodytext6"/>
              </w:rPr>
              <w:t>Exceeding 9,000,000/= but not exceeding 10,000,000/=</w:t>
            </w:r>
          </w:p>
        </w:tc>
        <w:tc>
          <w:tcPr>
            <w:tcW w:w="1296" w:type="dxa"/>
            <w:tcBorders>
              <w:top w:val="single" w:sz="4" w:space="0" w:color="auto"/>
              <w:left w:val="single" w:sz="4" w:space="0" w:color="auto"/>
              <w:righ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firstLine="0"/>
              <w:jc w:val="center"/>
            </w:pPr>
            <w:r>
              <w:rPr>
                <w:rStyle w:val="Bodytext6"/>
              </w:rPr>
              <w:t>90,000/=</w:t>
            </w:r>
          </w:p>
        </w:tc>
      </w:tr>
      <w:tr w:rsidR="00B53FD4">
        <w:tblPrEx>
          <w:tblCellMar>
            <w:top w:w="0" w:type="dxa"/>
            <w:bottom w:w="0" w:type="dxa"/>
          </w:tblCellMar>
        </w:tblPrEx>
        <w:trPr>
          <w:trHeight w:hRule="exact" w:val="413"/>
          <w:jc w:val="center"/>
        </w:trPr>
        <w:tc>
          <w:tcPr>
            <w:tcW w:w="322" w:type="dxa"/>
            <w:tcBorders>
              <w:top w:val="single" w:sz="4" w:space="0" w:color="auto"/>
              <w:left w:val="single" w:sz="4" w:space="0" w:color="auto"/>
              <w:bottom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60" w:firstLine="0"/>
            </w:pPr>
            <w:r>
              <w:rPr>
                <w:rStyle w:val="Bodytext6"/>
              </w:rPr>
              <w:t>11</w:t>
            </w:r>
          </w:p>
        </w:tc>
        <w:tc>
          <w:tcPr>
            <w:tcW w:w="5040" w:type="dxa"/>
            <w:tcBorders>
              <w:top w:val="single" w:sz="4" w:space="0" w:color="auto"/>
              <w:left w:val="single" w:sz="4" w:space="0" w:color="auto"/>
              <w:bottom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left="40" w:firstLine="0"/>
            </w:pPr>
            <w:r>
              <w:rPr>
                <w:rStyle w:val="Bodytext6"/>
              </w:rPr>
              <w:t>Exceeding 10,000,000/= onwards</w:t>
            </w:r>
          </w:p>
        </w:tc>
        <w:tc>
          <w:tcPr>
            <w:tcW w:w="1296" w:type="dxa"/>
            <w:tcBorders>
              <w:top w:val="single" w:sz="4" w:space="0" w:color="auto"/>
              <w:left w:val="single" w:sz="4" w:space="0" w:color="auto"/>
              <w:bottom w:val="single" w:sz="4" w:space="0" w:color="auto"/>
              <w:right w:val="single" w:sz="4" w:space="0" w:color="auto"/>
            </w:tcBorders>
            <w:shd w:val="clear" w:color="auto" w:fill="FFFFFF"/>
          </w:tcPr>
          <w:p w:rsidR="00B53FD4" w:rsidRDefault="00FF39C6">
            <w:pPr>
              <w:pStyle w:val="Bodytext0"/>
              <w:framePr w:w="6658" w:wrap="notBeside" w:vAnchor="text" w:hAnchor="text" w:xAlign="center" w:y="1"/>
              <w:shd w:val="clear" w:color="auto" w:fill="auto"/>
              <w:spacing w:before="0" w:after="0" w:line="230" w:lineRule="exact"/>
              <w:ind w:firstLine="0"/>
              <w:jc w:val="center"/>
            </w:pPr>
            <w:r>
              <w:rPr>
                <w:rStyle w:val="Bodytext6"/>
              </w:rPr>
              <w:t>100,000/=</w:t>
            </w:r>
          </w:p>
        </w:tc>
      </w:tr>
    </w:tbl>
    <w:p w:rsidR="00B53FD4" w:rsidRDefault="00B53FD4">
      <w:pPr>
        <w:rPr>
          <w:sz w:val="2"/>
          <w:szCs w:val="2"/>
        </w:rPr>
      </w:pPr>
    </w:p>
    <w:p w:rsidR="00B53FD4" w:rsidRDefault="00B53FD4">
      <w:pPr>
        <w:rPr>
          <w:sz w:val="2"/>
          <w:szCs w:val="2"/>
        </w:rPr>
        <w:sectPr w:rsidR="00B53FD4">
          <w:headerReference w:type="default" r:id="rId11"/>
          <w:footerReference w:type="default" r:id="rId12"/>
          <w:headerReference w:type="first" r:id="rId13"/>
          <w:footerReference w:type="first" r:id="rId14"/>
          <w:type w:val="continuous"/>
          <w:pgSz w:w="12240" w:h="15840"/>
          <w:pgMar w:top="2837" w:right="2757" w:bottom="2741" w:left="2781" w:header="0" w:footer="3" w:gutter="0"/>
          <w:cols w:space="720"/>
          <w:noEndnote/>
          <w:docGrid w:linePitch="360"/>
        </w:sectPr>
      </w:pPr>
    </w:p>
    <w:p w:rsidR="00B53FD4" w:rsidRDefault="00FF39C6">
      <w:pPr>
        <w:pStyle w:val="Bodytext0"/>
        <w:shd w:val="clear" w:color="auto" w:fill="auto"/>
        <w:spacing w:before="0" w:after="279" w:line="278" w:lineRule="exact"/>
        <w:ind w:right="20" w:firstLine="0"/>
        <w:jc w:val="center"/>
      </w:pPr>
      <w:r>
        <w:rPr>
          <w:rStyle w:val="BodytextSmallCaps"/>
        </w:rPr>
        <w:lastRenderedPageBreak/>
        <w:t xml:space="preserve">Part III—General </w:t>
      </w:r>
      <w:r>
        <w:rPr>
          <w:rStyle w:val="BodytextSmallCaps"/>
        </w:rPr>
        <w:t>Provisions Relating To Local Government Hotel Tax And Local Service Tax</w:t>
      </w:r>
    </w:p>
    <w:p w:rsidR="00B53FD4" w:rsidRDefault="00FF39C6">
      <w:pPr>
        <w:pStyle w:val="Bodytext0"/>
        <w:shd w:val="clear" w:color="auto" w:fill="auto"/>
        <w:spacing w:before="0" w:after="0" w:line="230" w:lineRule="exact"/>
        <w:ind w:right="20" w:firstLine="0"/>
        <w:jc w:val="center"/>
      </w:pPr>
      <w:r>
        <w:rPr>
          <w:rStyle w:val="BodytextSmallCaps"/>
        </w:rPr>
        <w:t>Division I—General Provisions Relating to Local Government</w:t>
      </w:r>
    </w:p>
    <w:p w:rsidR="00B53FD4" w:rsidRDefault="00FF39C6">
      <w:pPr>
        <w:pStyle w:val="Bodytext0"/>
        <w:shd w:val="clear" w:color="auto" w:fill="auto"/>
        <w:spacing w:before="0" w:after="288" w:line="230" w:lineRule="exact"/>
        <w:ind w:right="20" w:firstLine="0"/>
        <w:jc w:val="center"/>
      </w:pPr>
      <w:r>
        <w:rPr>
          <w:rStyle w:val="BodytextSmallCaps"/>
        </w:rPr>
        <w:t>Hotel Tax</w:t>
      </w:r>
    </w:p>
    <w:p w:rsidR="00B53FD4" w:rsidRDefault="00FF39C6">
      <w:pPr>
        <w:pStyle w:val="Heading10"/>
        <w:keepNext/>
        <w:keepLines/>
        <w:numPr>
          <w:ilvl w:val="0"/>
          <w:numId w:val="3"/>
        </w:numPr>
        <w:shd w:val="clear" w:color="auto" w:fill="auto"/>
        <w:tabs>
          <w:tab w:val="left" w:pos="495"/>
        </w:tabs>
        <w:spacing w:before="0" w:line="230" w:lineRule="exact"/>
        <w:ind w:left="20" w:firstLine="0"/>
        <w:jc w:val="left"/>
      </w:pPr>
      <w:bookmarkStart w:id="4" w:name="bookmark4"/>
      <w:r>
        <w:rPr>
          <w:rStyle w:val="Heading11"/>
        </w:rPr>
        <w:t>Local government hotel tax.</w:t>
      </w:r>
      <w:bookmarkEnd w:id="4"/>
    </w:p>
    <w:p w:rsidR="00B53FD4" w:rsidRDefault="00FF39C6">
      <w:pPr>
        <w:pStyle w:val="Bodytext0"/>
        <w:numPr>
          <w:ilvl w:val="0"/>
          <w:numId w:val="10"/>
        </w:numPr>
        <w:shd w:val="clear" w:color="auto" w:fill="auto"/>
        <w:tabs>
          <w:tab w:val="left" w:pos="865"/>
        </w:tabs>
        <w:spacing w:before="0" w:after="60" w:line="283" w:lineRule="exact"/>
        <w:ind w:left="20" w:right="20" w:firstLine="480"/>
        <w:jc w:val="both"/>
      </w:pPr>
      <w:r>
        <w:rPr>
          <w:rStyle w:val="Bodytext1"/>
        </w:rPr>
        <w:t>The local government hotel tax shall be levied on hotel and lodge accommodation per roo</w:t>
      </w:r>
      <w:r>
        <w:rPr>
          <w:rStyle w:val="Bodytext1"/>
        </w:rPr>
        <w:t xml:space="preserve">m per night and the tax shall be paid by </w:t>
      </w:r>
      <w:r>
        <w:rPr>
          <w:rStyle w:val="Bodytext1"/>
        </w:rPr>
        <w:lastRenderedPageBreak/>
        <w:t>room occupants.</w:t>
      </w:r>
    </w:p>
    <w:p w:rsidR="00B53FD4" w:rsidRDefault="00FF39C6">
      <w:pPr>
        <w:pStyle w:val="Bodytext0"/>
        <w:numPr>
          <w:ilvl w:val="0"/>
          <w:numId w:val="10"/>
        </w:numPr>
        <w:shd w:val="clear" w:color="auto" w:fill="auto"/>
        <w:tabs>
          <w:tab w:val="left" w:pos="879"/>
        </w:tabs>
        <w:spacing w:before="0" w:after="60" w:line="283" w:lineRule="exact"/>
        <w:ind w:left="20" w:right="20" w:firstLine="480"/>
        <w:jc w:val="both"/>
      </w:pPr>
      <w:r>
        <w:rPr>
          <w:rStyle w:val="Bodytext1"/>
        </w:rPr>
        <w:t>The tax shall be collected by the management of the hotel, which shall remit the tax to the relevant local council on a monthly basis.</w:t>
      </w:r>
    </w:p>
    <w:p w:rsidR="00B53FD4" w:rsidRDefault="00FF39C6">
      <w:pPr>
        <w:pStyle w:val="Bodytext0"/>
        <w:numPr>
          <w:ilvl w:val="0"/>
          <w:numId w:val="10"/>
        </w:numPr>
        <w:shd w:val="clear" w:color="auto" w:fill="auto"/>
        <w:tabs>
          <w:tab w:val="left" w:pos="922"/>
        </w:tabs>
        <w:spacing w:before="0" w:after="283" w:line="283" w:lineRule="exact"/>
        <w:ind w:left="20" w:right="20" w:firstLine="480"/>
        <w:jc w:val="both"/>
      </w:pPr>
      <w:r>
        <w:rPr>
          <w:rStyle w:val="Bodytext1"/>
        </w:rPr>
        <w:t xml:space="preserve">In these Regulations, a hotel is a house intended for </w:t>
      </w:r>
      <w:r>
        <w:rPr>
          <w:rStyle w:val="Bodytext1"/>
        </w:rPr>
        <w:t>accommodating travellers or visitors for payment.</w:t>
      </w:r>
    </w:p>
    <w:p w:rsidR="00B53FD4" w:rsidRDefault="00FF39C6">
      <w:pPr>
        <w:pStyle w:val="Heading10"/>
        <w:keepNext/>
        <w:keepLines/>
        <w:numPr>
          <w:ilvl w:val="0"/>
          <w:numId w:val="3"/>
        </w:numPr>
        <w:shd w:val="clear" w:color="auto" w:fill="auto"/>
        <w:tabs>
          <w:tab w:val="left" w:pos="495"/>
        </w:tabs>
        <w:spacing w:before="0" w:line="230" w:lineRule="exact"/>
        <w:ind w:left="20" w:firstLine="0"/>
        <w:jc w:val="left"/>
      </w:pPr>
      <w:bookmarkStart w:id="5" w:name="bookmark5"/>
      <w:r>
        <w:rPr>
          <w:rStyle w:val="Heading11"/>
        </w:rPr>
        <w:t>Enforcement.</w:t>
      </w:r>
      <w:bookmarkEnd w:id="5"/>
    </w:p>
    <w:p w:rsidR="00B53FD4" w:rsidRDefault="00FF39C6">
      <w:pPr>
        <w:pStyle w:val="Bodytext0"/>
        <w:numPr>
          <w:ilvl w:val="0"/>
          <w:numId w:val="11"/>
        </w:numPr>
        <w:shd w:val="clear" w:color="auto" w:fill="auto"/>
        <w:tabs>
          <w:tab w:val="left" w:pos="870"/>
        </w:tabs>
        <w:spacing w:before="0" w:after="56" w:line="278" w:lineRule="exact"/>
        <w:ind w:left="20" w:right="20" w:firstLine="480"/>
        <w:jc w:val="both"/>
      </w:pPr>
      <w:r>
        <w:rPr>
          <w:rStyle w:val="Bodytext1"/>
        </w:rPr>
        <w:t>Where the local government hotel tax is collected and any part of it remains un-remitted to the respective local government at the end of the financial year, the local government shall notify t</w:t>
      </w:r>
      <w:r>
        <w:rPr>
          <w:rStyle w:val="Bodytext1"/>
        </w:rPr>
        <w:t>he hotel liable, requiring it to pay the outstanding tax together with a surcharge of 40%, within two months after notification.</w:t>
      </w:r>
    </w:p>
    <w:p w:rsidR="00B53FD4" w:rsidRDefault="00FF39C6">
      <w:pPr>
        <w:pStyle w:val="Bodytext0"/>
        <w:numPr>
          <w:ilvl w:val="0"/>
          <w:numId w:val="11"/>
        </w:numPr>
        <w:shd w:val="clear" w:color="auto" w:fill="auto"/>
        <w:tabs>
          <w:tab w:val="left" w:pos="826"/>
        </w:tabs>
        <w:spacing w:before="0" w:after="283" w:line="283" w:lineRule="exact"/>
        <w:ind w:left="20" w:right="20" w:firstLine="480"/>
        <w:jc w:val="both"/>
      </w:pPr>
      <w:r>
        <w:rPr>
          <w:rStyle w:val="Bodytext1"/>
        </w:rPr>
        <w:t>A district or urban local council may sue a hotel for failure to collect the tax or failure to remit the tax collected.</w:t>
      </w:r>
    </w:p>
    <w:p w:rsidR="00B53FD4" w:rsidRDefault="00FF39C6">
      <w:pPr>
        <w:pStyle w:val="Bodytext0"/>
        <w:shd w:val="clear" w:color="auto" w:fill="auto"/>
        <w:spacing w:before="0" w:after="293" w:line="230" w:lineRule="exact"/>
        <w:ind w:right="20" w:firstLine="0"/>
        <w:jc w:val="center"/>
      </w:pPr>
      <w:r>
        <w:rPr>
          <w:rStyle w:val="BodytextSmallCaps"/>
        </w:rPr>
        <w:t>Divisio</w:t>
      </w:r>
      <w:r>
        <w:rPr>
          <w:rStyle w:val="BodytextSmallCaps"/>
        </w:rPr>
        <w:t>n II—General Provisions Relating to Local Service Tax</w:t>
      </w:r>
    </w:p>
    <w:p w:rsidR="00B53FD4" w:rsidRDefault="00FF39C6">
      <w:pPr>
        <w:pStyle w:val="Heading10"/>
        <w:keepNext/>
        <w:keepLines/>
        <w:numPr>
          <w:ilvl w:val="0"/>
          <w:numId w:val="3"/>
        </w:numPr>
        <w:shd w:val="clear" w:color="auto" w:fill="auto"/>
        <w:tabs>
          <w:tab w:val="left" w:pos="500"/>
        </w:tabs>
        <w:spacing w:before="0" w:line="230" w:lineRule="exact"/>
        <w:ind w:left="20" w:firstLine="0"/>
        <w:jc w:val="left"/>
      </w:pPr>
      <w:bookmarkStart w:id="6" w:name="bookmark6"/>
      <w:r>
        <w:rPr>
          <w:rStyle w:val="Heading11"/>
        </w:rPr>
        <w:t>General provisions relating to local service tax</w:t>
      </w:r>
      <w:bookmarkEnd w:id="6"/>
    </w:p>
    <w:p w:rsidR="00B53FD4" w:rsidRDefault="00FF39C6">
      <w:pPr>
        <w:pStyle w:val="Bodytext0"/>
        <w:numPr>
          <w:ilvl w:val="0"/>
          <w:numId w:val="12"/>
        </w:numPr>
        <w:shd w:val="clear" w:color="auto" w:fill="auto"/>
        <w:tabs>
          <w:tab w:val="left" w:pos="850"/>
        </w:tabs>
        <w:spacing w:before="0" w:after="60" w:line="278" w:lineRule="exact"/>
        <w:ind w:left="20" w:right="20" w:firstLine="480"/>
        <w:jc w:val="both"/>
      </w:pPr>
      <w:r>
        <w:rPr>
          <w:rStyle w:val="Bodytext1"/>
        </w:rPr>
        <w:t xml:space="preserve">Every district or urban local council shall levy an annual tax to be known as local service tax on every person in gainful employment, practising </w:t>
      </w:r>
      <w:r>
        <w:rPr>
          <w:rStyle w:val="Bodytext1"/>
        </w:rPr>
        <w:t>professionals, business persons and commercial farmers.</w:t>
      </w:r>
    </w:p>
    <w:p w:rsidR="00B53FD4" w:rsidRDefault="00FF39C6">
      <w:pPr>
        <w:pStyle w:val="Bodytext0"/>
        <w:numPr>
          <w:ilvl w:val="0"/>
          <w:numId w:val="12"/>
        </w:numPr>
        <w:shd w:val="clear" w:color="auto" w:fill="auto"/>
        <w:tabs>
          <w:tab w:val="left" w:pos="913"/>
        </w:tabs>
        <w:spacing w:before="0" w:after="99" w:line="278" w:lineRule="exact"/>
        <w:ind w:left="20" w:right="20" w:firstLine="480"/>
        <w:jc w:val="both"/>
      </w:pPr>
      <w:r>
        <w:rPr>
          <w:rStyle w:val="Bodytext1"/>
        </w:rPr>
        <w:t>The salaried employees shall pay the tax in four equal instalments during the financial year.</w:t>
      </w:r>
    </w:p>
    <w:p w:rsidR="00B53FD4" w:rsidRDefault="00FF39C6">
      <w:pPr>
        <w:pStyle w:val="Bodytext0"/>
        <w:numPr>
          <w:ilvl w:val="0"/>
          <w:numId w:val="12"/>
        </w:numPr>
        <w:shd w:val="clear" w:color="auto" w:fill="auto"/>
        <w:tabs>
          <w:tab w:val="left" w:pos="346"/>
        </w:tabs>
        <w:spacing w:before="0" w:after="0" w:line="230" w:lineRule="exact"/>
        <w:ind w:right="20" w:firstLine="0"/>
        <w:jc w:val="center"/>
      </w:pPr>
      <w:r>
        <w:rPr>
          <w:rStyle w:val="Bodytext1"/>
        </w:rPr>
        <w:t>The rest of the taxpayers shall pay the tax once in full.</w:t>
      </w:r>
    </w:p>
    <w:p w:rsidR="00B53FD4" w:rsidRDefault="00FF39C6">
      <w:pPr>
        <w:pStyle w:val="Bodytext0"/>
        <w:shd w:val="clear" w:color="auto" w:fill="auto"/>
        <w:spacing w:before="0" w:after="0" w:line="230" w:lineRule="exact"/>
        <w:ind w:right="20" w:firstLine="0"/>
        <w:jc w:val="center"/>
        <w:sectPr w:rsidR="00B53FD4">
          <w:headerReference w:type="default" r:id="rId15"/>
          <w:footerReference w:type="default" r:id="rId16"/>
          <w:headerReference w:type="first" r:id="rId17"/>
          <w:type w:val="continuous"/>
          <w:pgSz w:w="12240" w:h="15840"/>
          <w:pgMar w:top="2708" w:right="2786" w:bottom="2300" w:left="2786" w:header="0" w:footer="3" w:gutter="0"/>
          <w:cols w:space="720"/>
          <w:noEndnote/>
          <w:titlePg/>
          <w:docGrid w:linePitch="360"/>
        </w:sectPr>
      </w:pPr>
      <w:r>
        <w:rPr>
          <w:rStyle w:val="Bodytext1"/>
        </w:rPr>
        <w:t>7</w:t>
      </w:r>
    </w:p>
    <w:p w:rsidR="00B53FD4" w:rsidRDefault="00FF39C6">
      <w:pPr>
        <w:pStyle w:val="Bodytext0"/>
        <w:numPr>
          <w:ilvl w:val="0"/>
          <w:numId w:val="12"/>
        </w:numPr>
        <w:shd w:val="clear" w:color="auto" w:fill="auto"/>
        <w:tabs>
          <w:tab w:val="left" w:pos="865"/>
        </w:tabs>
        <w:spacing w:before="0" w:after="124" w:line="278" w:lineRule="exact"/>
        <w:ind w:left="20" w:right="40" w:firstLine="480"/>
        <w:jc w:val="both"/>
      </w:pPr>
      <w:r>
        <w:rPr>
          <w:rStyle w:val="Bodytext1"/>
        </w:rPr>
        <w:lastRenderedPageBreak/>
        <w:t>The payment of the tax shall be completed within the first four months of the financial year for which it was assessed.</w:t>
      </w:r>
    </w:p>
    <w:p w:rsidR="00B53FD4" w:rsidRDefault="00FF39C6">
      <w:pPr>
        <w:pStyle w:val="Bodytext0"/>
        <w:numPr>
          <w:ilvl w:val="0"/>
          <w:numId w:val="12"/>
        </w:numPr>
        <w:shd w:val="clear" w:color="auto" w:fill="auto"/>
        <w:tabs>
          <w:tab w:val="left" w:pos="894"/>
        </w:tabs>
        <w:spacing w:before="0" w:after="113" w:line="274" w:lineRule="exact"/>
        <w:ind w:left="20" w:right="40" w:firstLine="480"/>
        <w:jc w:val="both"/>
      </w:pPr>
      <w:r>
        <w:rPr>
          <w:rStyle w:val="Bodytext1"/>
        </w:rPr>
        <w:t xml:space="preserve">The tax on </w:t>
      </w:r>
      <w:r>
        <w:rPr>
          <w:rStyle w:val="Bodytext1"/>
        </w:rPr>
        <w:t>salaried employees shall be collected by the employer and remitted to the respective local governments.</w:t>
      </w:r>
    </w:p>
    <w:p w:rsidR="00B53FD4" w:rsidRDefault="00FF39C6">
      <w:pPr>
        <w:pStyle w:val="Bodytext0"/>
        <w:numPr>
          <w:ilvl w:val="0"/>
          <w:numId w:val="12"/>
        </w:numPr>
        <w:shd w:val="clear" w:color="auto" w:fill="auto"/>
        <w:tabs>
          <w:tab w:val="left" w:pos="831"/>
        </w:tabs>
        <w:spacing w:before="0" w:line="283" w:lineRule="exact"/>
        <w:ind w:left="20" w:right="40" w:firstLine="480"/>
        <w:jc w:val="both"/>
      </w:pPr>
      <w:r>
        <w:rPr>
          <w:rStyle w:val="Bodytext1"/>
        </w:rPr>
        <w:t>Local service tax shall be payable to the district, municipality or town council where the person liable to pay the tax resides.</w:t>
      </w:r>
    </w:p>
    <w:p w:rsidR="00B53FD4" w:rsidRDefault="00FF39C6">
      <w:pPr>
        <w:pStyle w:val="Bodytext0"/>
        <w:numPr>
          <w:ilvl w:val="0"/>
          <w:numId w:val="12"/>
        </w:numPr>
        <w:shd w:val="clear" w:color="auto" w:fill="auto"/>
        <w:tabs>
          <w:tab w:val="left" w:pos="850"/>
        </w:tabs>
        <w:spacing w:before="0" w:line="283" w:lineRule="exact"/>
        <w:ind w:left="20" w:right="40" w:firstLine="480"/>
        <w:jc w:val="both"/>
      </w:pPr>
      <w:r>
        <w:rPr>
          <w:rStyle w:val="Bodytext1"/>
        </w:rPr>
        <w:t xml:space="preserve">A person liable to pay </w:t>
      </w:r>
      <w:r>
        <w:rPr>
          <w:rStyle w:val="Bodytext1"/>
        </w:rPr>
        <w:t>local service tax shall register with the nearest tax office of a local government in the area where he or she resides.</w:t>
      </w:r>
    </w:p>
    <w:p w:rsidR="00B53FD4" w:rsidRDefault="00FF39C6">
      <w:pPr>
        <w:pStyle w:val="Bodytext0"/>
        <w:numPr>
          <w:ilvl w:val="0"/>
          <w:numId w:val="12"/>
        </w:numPr>
        <w:shd w:val="clear" w:color="auto" w:fill="auto"/>
        <w:tabs>
          <w:tab w:val="left" w:pos="817"/>
        </w:tabs>
        <w:spacing w:before="0" w:line="283" w:lineRule="exact"/>
        <w:ind w:left="20" w:right="40" w:firstLine="480"/>
        <w:jc w:val="both"/>
      </w:pPr>
      <w:r>
        <w:rPr>
          <w:rStyle w:val="Bodytext1"/>
        </w:rPr>
        <w:t xml:space="preserve">Local service tax shall be paid on the basis of an assessment </w:t>
      </w:r>
      <w:r>
        <w:rPr>
          <w:rStyle w:val="Bodytext1"/>
        </w:rPr>
        <w:lastRenderedPageBreak/>
        <w:t>and each local service tax payer shall keep evidence of his or her assessm</w:t>
      </w:r>
      <w:r>
        <w:rPr>
          <w:rStyle w:val="Bodytext1"/>
        </w:rPr>
        <w:t>ent.</w:t>
      </w:r>
    </w:p>
    <w:p w:rsidR="00B53FD4" w:rsidRDefault="00FF39C6">
      <w:pPr>
        <w:pStyle w:val="Bodytext0"/>
        <w:numPr>
          <w:ilvl w:val="0"/>
          <w:numId w:val="12"/>
        </w:numPr>
        <w:shd w:val="clear" w:color="auto" w:fill="auto"/>
        <w:tabs>
          <w:tab w:val="left" w:pos="850"/>
        </w:tabs>
        <w:spacing w:before="0" w:after="124" w:line="283" w:lineRule="exact"/>
        <w:ind w:left="20" w:right="40" w:firstLine="480"/>
        <w:jc w:val="both"/>
      </w:pPr>
      <w:r>
        <w:rPr>
          <w:rStyle w:val="Bodytext1"/>
        </w:rPr>
        <w:t>The businessmen and businesswomen shall pay the tax at the time of paying for their annual trading and operational licences at their respective local governments.</w:t>
      </w:r>
    </w:p>
    <w:p w:rsidR="00B53FD4" w:rsidRDefault="00FF39C6">
      <w:pPr>
        <w:pStyle w:val="Bodytext0"/>
        <w:numPr>
          <w:ilvl w:val="0"/>
          <w:numId w:val="12"/>
        </w:numPr>
        <w:shd w:val="clear" w:color="auto" w:fill="auto"/>
        <w:tabs>
          <w:tab w:val="left" w:pos="1042"/>
        </w:tabs>
        <w:spacing w:before="0" w:line="278" w:lineRule="exact"/>
        <w:ind w:left="20" w:right="40" w:firstLine="480"/>
        <w:jc w:val="both"/>
      </w:pPr>
      <w:r>
        <w:rPr>
          <w:rStyle w:val="Bodytext1"/>
        </w:rPr>
        <w:t>Where a commercial farmer produces more than one agricultural produce the assessment com</w:t>
      </w:r>
      <w:r>
        <w:rPr>
          <w:rStyle w:val="Bodytext1"/>
        </w:rPr>
        <w:t>mittee shall only assess him or her for local service tax based on the main dominant agricultural product he or she is producing.</w:t>
      </w:r>
    </w:p>
    <w:p w:rsidR="00B53FD4" w:rsidRDefault="00FF39C6">
      <w:pPr>
        <w:pStyle w:val="Bodytext0"/>
        <w:numPr>
          <w:ilvl w:val="0"/>
          <w:numId w:val="12"/>
        </w:numPr>
        <w:shd w:val="clear" w:color="auto" w:fill="auto"/>
        <w:tabs>
          <w:tab w:val="left" w:pos="1014"/>
        </w:tabs>
        <w:spacing w:before="0" w:line="278" w:lineRule="exact"/>
        <w:ind w:left="20" w:right="40" w:firstLine="480"/>
        <w:jc w:val="both"/>
      </w:pPr>
      <w:r>
        <w:rPr>
          <w:rStyle w:val="Bodytext1"/>
        </w:rPr>
        <w:t>In these Regulations, a commercial farmer is a person producing farm produce on a large scale for the market.</w:t>
      </w:r>
    </w:p>
    <w:p w:rsidR="00B53FD4" w:rsidRDefault="00FF39C6">
      <w:pPr>
        <w:pStyle w:val="Bodytext0"/>
        <w:numPr>
          <w:ilvl w:val="0"/>
          <w:numId w:val="12"/>
        </w:numPr>
        <w:shd w:val="clear" w:color="auto" w:fill="auto"/>
        <w:tabs>
          <w:tab w:val="left" w:pos="990"/>
        </w:tabs>
        <w:spacing w:before="0" w:line="278" w:lineRule="exact"/>
        <w:ind w:left="20" w:right="40" w:firstLine="480"/>
        <w:jc w:val="both"/>
      </w:pPr>
      <w:r>
        <w:rPr>
          <w:rStyle w:val="Bodytext1"/>
        </w:rPr>
        <w:t>For the purposes</w:t>
      </w:r>
      <w:r>
        <w:rPr>
          <w:rStyle w:val="Bodytext1"/>
        </w:rPr>
        <w:t xml:space="preserve"> of these Regulations, “residence” means continuous residence for at least six months in a city, municipality, town, district or other local government, and continuity of residence shall be deemed not to have been broken by reason of any absence of less th</w:t>
      </w:r>
      <w:r>
        <w:rPr>
          <w:rStyle w:val="Bodytext1"/>
        </w:rPr>
        <w:t>an five weeks.</w:t>
      </w:r>
    </w:p>
    <w:p w:rsidR="00B53FD4" w:rsidRDefault="00FF39C6">
      <w:pPr>
        <w:pStyle w:val="Heading10"/>
        <w:keepNext/>
        <w:keepLines/>
        <w:numPr>
          <w:ilvl w:val="0"/>
          <w:numId w:val="3"/>
        </w:numPr>
        <w:shd w:val="clear" w:color="auto" w:fill="auto"/>
        <w:tabs>
          <w:tab w:val="left" w:pos="495"/>
        </w:tabs>
        <w:spacing w:before="0"/>
        <w:ind w:left="20" w:firstLine="0"/>
      </w:pPr>
      <w:bookmarkStart w:id="7" w:name="bookmark7"/>
      <w:r>
        <w:rPr>
          <w:rStyle w:val="Heading11"/>
        </w:rPr>
        <w:t>Tax enumeration committee.</w:t>
      </w:r>
      <w:bookmarkEnd w:id="7"/>
    </w:p>
    <w:p w:rsidR="00B53FD4" w:rsidRDefault="00FF39C6">
      <w:pPr>
        <w:pStyle w:val="Bodytext0"/>
        <w:shd w:val="clear" w:color="auto" w:fill="auto"/>
        <w:spacing w:before="0" w:after="0" w:line="278" w:lineRule="exact"/>
        <w:ind w:left="20" w:right="40" w:firstLine="0"/>
        <w:jc w:val="both"/>
      </w:pPr>
      <w:r>
        <w:rPr>
          <w:rStyle w:val="Bodytext1"/>
        </w:rPr>
        <w:t>A subcounty chief, an assistant town clerk and a town clerk shall respectively appoint a tax enumeration committee for a subcounty, city division or municipal division and town council, composed of technical office</w:t>
      </w:r>
      <w:r>
        <w:rPr>
          <w:rStyle w:val="Bodytext1"/>
        </w:rPr>
        <w:t>rs with a chairperson of a village or ward, where the enumeration is taking place, as an ex-officio member to carry out enumeration of sources of income of persons to feed into the work of the tax assessment committee.</w:t>
      </w:r>
    </w:p>
    <w:p w:rsidR="00B53FD4" w:rsidRDefault="00FF39C6">
      <w:pPr>
        <w:pStyle w:val="Heading10"/>
        <w:keepNext/>
        <w:keepLines/>
        <w:numPr>
          <w:ilvl w:val="0"/>
          <w:numId w:val="3"/>
        </w:numPr>
        <w:shd w:val="clear" w:color="auto" w:fill="auto"/>
        <w:tabs>
          <w:tab w:val="left" w:pos="495"/>
        </w:tabs>
        <w:spacing w:before="0" w:line="230" w:lineRule="exact"/>
        <w:ind w:left="20" w:firstLine="0"/>
        <w:jc w:val="left"/>
      </w:pPr>
      <w:bookmarkStart w:id="8" w:name="bookmark8"/>
      <w:r>
        <w:rPr>
          <w:rStyle w:val="Heading11"/>
        </w:rPr>
        <w:t>Tax assessment committee.</w:t>
      </w:r>
      <w:bookmarkEnd w:id="8"/>
    </w:p>
    <w:p w:rsidR="00B53FD4" w:rsidRDefault="00FF39C6">
      <w:pPr>
        <w:pStyle w:val="Bodytext0"/>
        <w:numPr>
          <w:ilvl w:val="0"/>
          <w:numId w:val="13"/>
        </w:numPr>
        <w:shd w:val="clear" w:color="auto" w:fill="auto"/>
        <w:tabs>
          <w:tab w:val="left" w:pos="836"/>
        </w:tabs>
        <w:spacing w:before="0" w:after="64" w:line="283" w:lineRule="exact"/>
        <w:ind w:left="20" w:right="20" w:firstLine="480"/>
        <w:jc w:val="both"/>
      </w:pPr>
      <w:r>
        <w:rPr>
          <w:rStyle w:val="Bodytext1"/>
        </w:rPr>
        <w:t>Local servi</w:t>
      </w:r>
      <w:r>
        <w:rPr>
          <w:rStyle w:val="Bodytext1"/>
        </w:rPr>
        <w:t>ce tax payable under this Part by a person resident in a subcounty shall be assessed under these Regulations by a tax assessment committee appointed by the subcounty council.</w:t>
      </w:r>
    </w:p>
    <w:p w:rsidR="00B53FD4" w:rsidRDefault="00FF39C6">
      <w:pPr>
        <w:pStyle w:val="Bodytext0"/>
        <w:numPr>
          <w:ilvl w:val="0"/>
          <w:numId w:val="13"/>
        </w:numPr>
        <w:shd w:val="clear" w:color="auto" w:fill="auto"/>
        <w:tabs>
          <w:tab w:val="left" w:pos="841"/>
        </w:tabs>
        <w:spacing w:before="0" w:after="240" w:line="278" w:lineRule="exact"/>
        <w:ind w:left="20" w:right="20" w:firstLine="480"/>
        <w:jc w:val="both"/>
      </w:pPr>
      <w:r>
        <w:rPr>
          <w:rStyle w:val="Bodytext1"/>
        </w:rPr>
        <w:t xml:space="preserve">Local service tax payable under this Part by a person resident in the area of </w:t>
      </w:r>
      <w:r>
        <w:rPr>
          <w:rStyle w:val="Bodytext1"/>
        </w:rPr>
        <w:t>jurisdiction of an urban council shall be assessed by a tax assessment committee appointed by the city or municipal division council or town council as the case may be.</w:t>
      </w:r>
    </w:p>
    <w:p w:rsidR="00B53FD4" w:rsidRDefault="00FF39C6">
      <w:pPr>
        <w:pStyle w:val="Heading10"/>
        <w:keepNext/>
        <w:keepLines/>
        <w:numPr>
          <w:ilvl w:val="0"/>
          <w:numId w:val="3"/>
        </w:numPr>
        <w:shd w:val="clear" w:color="auto" w:fill="auto"/>
        <w:tabs>
          <w:tab w:val="left" w:pos="486"/>
        </w:tabs>
        <w:spacing w:before="0"/>
        <w:ind w:left="20" w:firstLine="0"/>
        <w:jc w:val="left"/>
      </w:pPr>
      <w:bookmarkStart w:id="9" w:name="bookmark9"/>
      <w:r>
        <w:rPr>
          <w:rStyle w:val="Heading11"/>
        </w:rPr>
        <w:lastRenderedPageBreak/>
        <w:t>Assessment of taxes by the tax assessment committee.</w:t>
      </w:r>
      <w:bookmarkEnd w:id="9"/>
    </w:p>
    <w:p w:rsidR="00B53FD4" w:rsidRDefault="00FF39C6">
      <w:pPr>
        <w:pStyle w:val="Bodytext0"/>
        <w:numPr>
          <w:ilvl w:val="0"/>
          <w:numId w:val="14"/>
        </w:numPr>
        <w:shd w:val="clear" w:color="auto" w:fill="auto"/>
        <w:tabs>
          <w:tab w:val="left" w:pos="846"/>
        </w:tabs>
        <w:spacing w:before="0" w:after="60" w:line="278" w:lineRule="exact"/>
        <w:ind w:left="20" w:right="20" w:firstLine="480"/>
        <w:jc w:val="both"/>
      </w:pPr>
      <w:r>
        <w:rPr>
          <w:rStyle w:val="Bodytext1"/>
        </w:rPr>
        <w:t>Where a person satisfies the asses</w:t>
      </w:r>
      <w:r>
        <w:rPr>
          <w:rStyle w:val="Bodytext1"/>
        </w:rPr>
        <w:t>sment committee or person appointed to do the assessment that he or she is unable to speak or to understand the language used by the tax assessment committee, the committee carrying out the assessment shall be assisted by an interpreter who understands the</w:t>
      </w:r>
      <w:r>
        <w:rPr>
          <w:rStyle w:val="Bodytext1"/>
        </w:rPr>
        <w:t xml:space="preserve"> language of the person to be assessed.</w:t>
      </w:r>
    </w:p>
    <w:p w:rsidR="00B53FD4" w:rsidRDefault="00FF39C6">
      <w:pPr>
        <w:pStyle w:val="Bodytext0"/>
        <w:numPr>
          <w:ilvl w:val="0"/>
          <w:numId w:val="14"/>
        </w:numPr>
        <w:shd w:val="clear" w:color="auto" w:fill="auto"/>
        <w:tabs>
          <w:tab w:val="left" w:pos="841"/>
        </w:tabs>
        <w:spacing w:before="0" w:after="60" w:line="278" w:lineRule="exact"/>
        <w:ind w:left="20" w:right="20" w:firstLine="480"/>
        <w:jc w:val="both"/>
      </w:pPr>
      <w:r>
        <w:rPr>
          <w:rStyle w:val="Bodytext1"/>
        </w:rPr>
        <w:t>Where within one year after the making of an assessment by an assessment committee, the council concerned discovers in the assessment, an error or miscalculation, the council shall order the amendment of the assessme</w:t>
      </w:r>
      <w:r>
        <w:rPr>
          <w:rStyle w:val="Bodytext1"/>
        </w:rPr>
        <w:t>nt, and a fresh certificate of assessment shall accordingly be issued.</w:t>
      </w:r>
    </w:p>
    <w:p w:rsidR="00B53FD4" w:rsidRDefault="00FF39C6">
      <w:pPr>
        <w:pStyle w:val="Bodytext0"/>
        <w:numPr>
          <w:ilvl w:val="0"/>
          <w:numId w:val="14"/>
        </w:numPr>
        <w:shd w:val="clear" w:color="auto" w:fill="auto"/>
        <w:tabs>
          <w:tab w:val="left" w:pos="850"/>
        </w:tabs>
        <w:spacing w:before="0" w:after="60" w:line="278" w:lineRule="exact"/>
        <w:ind w:left="20" w:right="20" w:firstLine="480"/>
        <w:jc w:val="both"/>
      </w:pPr>
      <w:r>
        <w:rPr>
          <w:rStyle w:val="Bodytext1"/>
        </w:rPr>
        <w:t>Any amendment under subregulation (2) resulting in a higher tax shall not be made without affording a hearing to the taxpayer, and the taxpayer shall have the right to appeal against th</w:t>
      </w:r>
      <w:r>
        <w:rPr>
          <w:rStyle w:val="Bodytext1"/>
        </w:rPr>
        <w:t>e amended assessment.</w:t>
      </w:r>
    </w:p>
    <w:p w:rsidR="00B53FD4" w:rsidRDefault="00FF39C6">
      <w:pPr>
        <w:pStyle w:val="Bodytext0"/>
        <w:numPr>
          <w:ilvl w:val="0"/>
          <w:numId w:val="14"/>
        </w:numPr>
        <w:shd w:val="clear" w:color="auto" w:fill="auto"/>
        <w:tabs>
          <w:tab w:val="left" w:pos="874"/>
        </w:tabs>
        <w:spacing w:before="0" w:after="60" w:line="278" w:lineRule="exact"/>
        <w:ind w:left="20" w:right="20" w:firstLine="480"/>
        <w:jc w:val="both"/>
      </w:pPr>
      <w:r>
        <w:rPr>
          <w:rStyle w:val="Bodytext1"/>
        </w:rPr>
        <w:t>Where an amendment under subregulation (2) results in a lower tax, a taxpayer shall be credited with the balance in his or her favour for the tax of the following year.</w:t>
      </w:r>
    </w:p>
    <w:p w:rsidR="00B53FD4" w:rsidRDefault="00FF39C6">
      <w:pPr>
        <w:pStyle w:val="Heading10"/>
        <w:keepNext/>
        <w:keepLines/>
        <w:numPr>
          <w:ilvl w:val="0"/>
          <w:numId w:val="3"/>
        </w:numPr>
        <w:shd w:val="clear" w:color="auto" w:fill="auto"/>
        <w:tabs>
          <w:tab w:val="left" w:pos="486"/>
        </w:tabs>
        <w:spacing w:before="0"/>
        <w:ind w:left="20" w:firstLine="0"/>
        <w:jc w:val="left"/>
      </w:pPr>
      <w:bookmarkStart w:id="10" w:name="bookmark10"/>
      <w:r>
        <w:rPr>
          <w:rStyle w:val="Heading11"/>
        </w:rPr>
        <w:t>Appeal against assessment.</w:t>
      </w:r>
      <w:bookmarkEnd w:id="10"/>
    </w:p>
    <w:p w:rsidR="00B53FD4" w:rsidRDefault="00FF39C6">
      <w:pPr>
        <w:pStyle w:val="Bodytext0"/>
        <w:numPr>
          <w:ilvl w:val="0"/>
          <w:numId w:val="15"/>
        </w:numPr>
        <w:shd w:val="clear" w:color="auto" w:fill="auto"/>
        <w:tabs>
          <w:tab w:val="left" w:pos="889"/>
        </w:tabs>
        <w:spacing w:before="0" w:after="99" w:line="278" w:lineRule="exact"/>
        <w:ind w:left="20" w:right="20" w:firstLine="480"/>
        <w:jc w:val="both"/>
      </w:pPr>
      <w:r>
        <w:rPr>
          <w:rStyle w:val="Bodytext1"/>
        </w:rPr>
        <w:t xml:space="preserve">There shall be a tax assessment </w:t>
      </w:r>
      <w:r>
        <w:rPr>
          <w:rStyle w:val="Bodytext1"/>
        </w:rPr>
        <w:t>appeals tribunal in every subcounty or urban council which shall be constituted in the manner prescribed by the Minister by statutory instrument.</w:t>
      </w:r>
    </w:p>
    <w:p w:rsidR="00B53FD4" w:rsidRDefault="00FF39C6">
      <w:pPr>
        <w:pStyle w:val="Bodytext0"/>
        <w:numPr>
          <w:ilvl w:val="0"/>
          <w:numId w:val="15"/>
        </w:numPr>
        <w:shd w:val="clear" w:color="auto" w:fill="auto"/>
        <w:tabs>
          <w:tab w:val="left" w:pos="836"/>
        </w:tabs>
        <w:spacing w:before="0" w:after="139" w:line="230" w:lineRule="exact"/>
        <w:ind w:left="20" w:firstLine="480"/>
        <w:jc w:val="both"/>
      </w:pPr>
      <w:r>
        <w:rPr>
          <w:rStyle w:val="Bodytext1"/>
        </w:rPr>
        <w:t>Any person—</w:t>
      </w:r>
    </w:p>
    <w:p w:rsidR="00B53FD4" w:rsidRDefault="00FF39C6">
      <w:pPr>
        <w:pStyle w:val="Bodytext0"/>
        <w:numPr>
          <w:ilvl w:val="0"/>
          <w:numId w:val="16"/>
        </w:numPr>
        <w:shd w:val="clear" w:color="auto" w:fill="auto"/>
        <w:tabs>
          <w:tab w:val="left" w:pos="826"/>
        </w:tabs>
        <w:spacing w:before="0" w:after="0" w:line="278" w:lineRule="exact"/>
        <w:ind w:left="1080" w:right="20" w:hanging="600"/>
        <w:sectPr w:rsidR="00B53FD4">
          <w:type w:val="continuous"/>
          <w:pgSz w:w="12240" w:h="15840"/>
          <w:pgMar w:top="2867" w:right="2771" w:bottom="2771" w:left="2781" w:header="0" w:footer="3" w:gutter="0"/>
          <w:cols w:space="720"/>
          <w:noEndnote/>
          <w:docGrid w:linePitch="360"/>
        </w:sectPr>
      </w:pPr>
      <w:r>
        <w:rPr>
          <w:rStyle w:val="Bodytext1"/>
        </w:rPr>
        <w:t xml:space="preserve">assessed to pay local service tax for which he or she is not liable under these </w:t>
      </w:r>
      <w:r>
        <w:rPr>
          <w:rStyle w:val="Bodytext1"/>
        </w:rPr>
        <w:t>Regulations;</w:t>
      </w:r>
    </w:p>
    <w:p w:rsidR="00B53FD4" w:rsidRDefault="00FF39C6">
      <w:pPr>
        <w:pStyle w:val="Bodytext50"/>
        <w:shd w:val="clear" w:color="auto" w:fill="auto"/>
        <w:spacing w:before="0" w:after="178" w:line="230" w:lineRule="exact"/>
        <w:jc w:val="right"/>
      </w:pPr>
      <w:r>
        <w:rPr>
          <w:rStyle w:val="Bodytext5NotItalic"/>
        </w:rPr>
        <w:lastRenderedPageBreak/>
        <w:t xml:space="preserve">Act 8 </w:t>
      </w:r>
      <w:r>
        <w:rPr>
          <w:rStyle w:val="Bodytext51"/>
          <w:i/>
          <w:iCs/>
        </w:rPr>
        <w:t>Local Governments (Amendment) (No. 2) Act</w:t>
      </w:r>
      <w:r>
        <w:rPr>
          <w:rStyle w:val="Bodytext5NotItalic"/>
        </w:rPr>
        <w:t xml:space="preserve"> 2008</w:t>
      </w:r>
    </w:p>
    <w:p w:rsidR="00B53FD4" w:rsidRDefault="00FF39C6">
      <w:pPr>
        <w:pStyle w:val="Bodytext0"/>
        <w:numPr>
          <w:ilvl w:val="0"/>
          <w:numId w:val="16"/>
        </w:numPr>
        <w:shd w:val="clear" w:color="auto" w:fill="auto"/>
        <w:tabs>
          <w:tab w:val="left" w:pos="374"/>
        </w:tabs>
        <w:spacing w:before="0" w:after="0" w:line="230" w:lineRule="exact"/>
        <w:ind w:firstLine="0"/>
        <w:jc w:val="right"/>
      </w:pPr>
      <w:r>
        <w:rPr>
          <w:rStyle w:val="Bodytext1"/>
        </w:rPr>
        <w:t>assessed to pay a rate of local service tax higher than the</w:t>
      </w:r>
    </w:p>
    <w:p w:rsidR="00B53FD4" w:rsidRDefault="00FF39C6">
      <w:pPr>
        <w:pStyle w:val="Bodytext0"/>
        <w:shd w:val="clear" w:color="auto" w:fill="auto"/>
        <w:spacing w:before="0" w:after="0" w:line="619" w:lineRule="exact"/>
        <w:ind w:firstLine="0"/>
        <w:jc w:val="right"/>
      </w:pPr>
      <w:r>
        <w:rPr>
          <w:rStyle w:val="Bodytext1"/>
        </w:rPr>
        <w:t>standard rate of tax;</w:t>
      </w:r>
    </w:p>
    <w:p w:rsidR="00B53FD4" w:rsidRDefault="00FF39C6">
      <w:pPr>
        <w:pStyle w:val="Bodytext0"/>
        <w:numPr>
          <w:ilvl w:val="0"/>
          <w:numId w:val="16"/>
        </w:numPr>
        <w:shd w:val="clear" w:color="auto" w:fill="auto"/>
        <w:tabs>
          <w:tab w:val="left" w:pos="806"/>
        </w:tabs>
        <w:spacing w:before="0" w:after="0" w:line="619" w:lineRule="exact"/>
        <w:ind w:firstLine="480"/>
        <w:jc w:val="both"/>
      </w:pPr>
      <w:r>
        <w:rPr>
          <w:rStyle w:val="Bodytext1"/>
        </w:rPr>
        <w:t>refused exemption from the payment of local service tax; or</w:t>
      </w:r>
    </w:p>
    <w:p w:rsidR="00B53FD4" w:rsidRDefault="00FF39C6">
      <w:pPr>
        <w:pStyle w:val="Bodytext0"/>
        <w:numPr>
          <w:ilvl w:val="0"/>
          <w:numId w:val="16"/>
        </w:numPr>
        <w:shd w:val="clear" w:color="auto" w:fill="auto"/>
        <w:tabs>
          <w:tab w:val="left" w:pos="850"/>
        </w:tabs>
        <w:spacing w:before="0" w:after="0" w:line="619" w:lineRule="exact"/>
        <w:ind w:firstLine="480"/>
        <w:jc w:val="both"/>
      </w:pPr>
      <w:r>
        <w:rPr>
          <w:rStyle w:val="Bodytext1"/>
        </w:rPr>
        <w:t xml:space="preserve">whose complete exemption or partial exemption </w:t>
      </w:r>
      <w:r>
        <w:rPr>
          <w:rStyle w:val="Bodytext1"/>
        </w:rPr>
        <w:t>from the</w:t>
      </w:r>
    </w:p>
    <w:p w:rsidR="00B53FD4" w:rsidRDefault="00FF39C6">
      <w:pPr>
        <w:pStyle w:val="Bodytext0"/>
        <w:shd w:val="clear" w:color="auto" w:fill="auto"/>
        <w:spacing w:before="0" w:after="236" w:line="274" w:lineRule="exact"/>
        <w:ind w:left="1100" w:firstLine="0"/>
        <w:jc w:val="both"/>
      </w:pPr>
      <w:r>
        <w:rPr>
          <w:rStyle w:val="Bodytext1"/>
        </w:rPr>
        <w:t xml:space="preserve">payment of local service tax has been revoked or varied by </w:t>
      </w:r>
      <w:r>
        <w:rPr>
          <w:rStyle w:val="Bodytext1"/>
        </w:rPr>
        <w:lastRenderedPageBreak/>
        <w:t>a tax assessment committee,</w:t>
      </w:r>
    </w:p>
    <w:p w:rsidR="00B53FD4" w:rsidRDefault="00FF39C6">
      <w:pPr>
        <w:pStyle w:val="Bodytext0"/>
        <w:shd w:val="clear" w:color="auto" w:fill="auto"/>
        <w:spacing w:before="0" w:after="240" w:line="278" w:lineRule="exact"/>
        <w:ind w:firstLine="0"/>
        <w:jc w:val="both"/>
      </w:pPr>
      <w:r>
        <w:rPr>
          <w:rStyle w:val="Bodytext1"/>
        </w:rPr>
        <w:t>may appeal to the tax assessment appeals tribunal, and the tax assessment appeals tribunal may confirm or vary the decision.</w:t>
      </w:r>
    </w:p>
    <w:p w:rsidR="00B53FD4" w:rsidRDefault="00FF39C6">
      <w:pPr>
        <w:pStyle w:val="Bodytext0"/>
        <w:numPr>
          <w:ilvl w:val="0"/>
          <w:numId w:val="15"/>
        </w:numPr>
        <w:shd w:val="clear" w:color="auto" w:fill="auto"/>
        <w:tabs>
          <w:tab w:val="left" w:pos="840"/>
        </w:tabs>
        <w:spacing w:before="0" w:after="279" w:line="278" w:lineRule="exact"/>
        <w:ind w:firstLine="480"/>
        <w:jc w:val="both"/>
      </w:pPr>
      <w:r>
        <w:rPr>
          <w:rStyle w:val="Bodytext1"/>
        </w:rPr>
        <w:t xml:space="preserve">Where a chief in charge of a </w:t>
      </w:r>
      <w:r>
        <w:rPr>
          <w:rStyle w:val="Bodytext1"/>
        </w:rPr>
        <w:t>subcounty or town clerk in an urban council in which any person resides is satisfied that a person—</w:t>
      </w:r>
    </w:p>
    <w:p w:rsidR="00B53FD4" w:rsidRDefault="00FF39C6">
      <w:pPr>
        <w:pStyle w:val="Bodytext0"/>
        <w:numPr>
          <w:ilvl w:val="0"/>
          <w:numId w:val="17"/>
        </w:numPr>
        <w:shd w:val="clear" w:color="auto" w:fill="auto"/>
        <w:tabs>
          <w:tab w:val="left" w:pos="317"/>
        </w:tabs>
        <w:spacing w:before="0" w:after="3" w:line="230" w:lineRule="exact"/>
        <w:ind w:firstLine="0"/>
        <w:jc w:val="right"/>
      </w:pPr>
      <w:r>
        <w:rPr>
          <w:rStyle w:val="Bodytext1"/>
        </w:rPr>
        <w:t>has not been required to pay local service tax for which he or</w:t>
      </w:r>
    </w:p>
    <w:p w:rsidR="00B53FD4" w:rsidRDefault="00FF39C6">
      <w:pPr>
        <w:pStyle w:val="Bodytext0"/>
        <w:shd w:val="clear" w:color="auto" w:fill="auto"/>
        <w:spacing w:before="0" w:after="358" w:line="230" w:lineRule="exact"/>
        <w:ind w:firstLine="0"/>
        <w:jc w:val="right"/>
      </w:pPr>
      <w:r>
        <w:rPr>
          <w:rStyle w:val="Bodytext1"/>
        </w:rPr>
        <w:t>she is liable under these Regulations;</w:t>
      </w:r>
    </w:p>
    <w:p w:rsidR="00B53FD4" w:rsidRDefault="00FF39C6">
      <w:pPr>
        <w:pStyle w:val="Bodytext0"/>
        <w:numPr>
          <w:ilvl w:val="0"/>
          <w:numId w:val="17"/>
        </w:numPr>
        <w:shd w:val="clear" w:color="auto" w:fill="auto"/>
        <w:tabs>
          <w:tab w:val="left" w:pos="811"/>
        </w:tabs>
        <w:spacing w:before="0" w:after="3" w:line="230" w:lineRule="exact"/>
        <w:ind w:firstLine="480"/>
        <w:jc w:val="both"/>
      </w:pPr>
      <w:r>
        <w:rPr>
          <w:rStyle w:val="Bodytext1"/>
        </w:rPr>
        <w:t xml:space="preserve">has been required to pay local service tax at a lower </w:t>
      </w:r>
      <w:r>
        <w:rPr>
          <w:rStyle w:val="Bodytext1"/>
        </w:rPr>
        <w:t>rate than</w:t>
      </w:r>
    </w:p>
    <w:p w:rsidR="00B53FD4" w:rsidRDefault="00FF39C6">
      <w:pPr>
        <w:pStyle w:val="Bodytext0"/>
        <w:shd w:val="clear" w:color="auto" w:fill="auto"/>
        <w:spacing w:before="0" w:after="358" w:line="230" w:lineRule="exact"/>
        <w:ind w:firstLine="0"/>
        <w:jc w:val="right"/>
      </w:pPr>
      <w:r>
        <w:rPr>
          <w:rStyle w:val="Bodytext1"/>
        </w:rPr>
        <w:t>he or she should pay; or</w:t>
      </w:r>
    </w:p>
    <w:p w:rsidR="00B53FD4" w:rsidRDefault="00FF39C6">
      <w:pPr>
        <w:pStyle w:val="Bodytext0"/>
        <w:numPr>
          <w:ilvl w:val="0"/>
          <w:numId w:val="17"/>
        </w:numPr>
        <w:shd w:val="clear" w:color="auto" w:fill="auto"/>
        <w:tabs>
          <w:tab w:val="left" w:pos="845"/>
        </w:tabs>
        <w:spacing w:before="0" w:after="0" w:line="230" w:lineRule="exact"/>
        <w:ind w:firstLine="480"/>
        <w:jc w:val="both"/>
      </w:pPr>
      <w:r>
        <w:rPr>
          <w:rStyle w:val="Bodytext1"/>
        </w:rPr>
        <w:t>has been granted partial or complete exemption from the</w:t>
      </w:r>
    </w:p>
    <w:p w:rsidR="00B53FD4" w:rsidRDefault="00FF39C6">
      <w:pPr>
        <w:pStyle w:val="Bodytext0"/>
        <w:shd w:val="clear" w:color="auto" w:fill="auto"/>
        <w:spacing w:before="0" w:after="196" w:line="230" w:lineRule="exact"/>
        <w:ind w:firstLine="0"/>
        <w:jc w:val="right"/>
      </w:pPr>
      <w:r>
        <w:rPr>
          <w:rStyle w:val="Bodytext1"/>
        </w:rPr>
        <w:t>payment of local service tax unreasonably,</w:t>
      </w:r>
    </w:p>
    <w:p w:rsidR="00B53FD4" w:rsidRDefault="00FF39C6">
      <w:pPr>
        <w:pStyle w:val="Bodytext0"/>
        <w:shd w:val="clear" w:color="auto" w:fill="auto"/>
        <w:spacing w:before="0" w:after="304" w:line="283" w:lineRule="exact"/>
        <w:ind w:firstLine="0"/>
        <w:jc w:val="both"/>
      </w:pPr>
      <w:r>
        <w:rPr>
          <w:rStyle w:val="Bodytext1"/>
        </w:rPr>
        <w:t>that officer may appeal to the tribunal, and the appeals tribunal may confirm or vary the decision appealed against.</w:t>
      </w:r>
    </w:p>
    <w:p w:rsidR="00B53FD4" w:rsidRDefault="00FF39C6">
      <w:pPr>
        <w:pStyle w:val="Bodytext0"/>
        <w:numPr>
          <w:ilvl w:val="0"/>
          <w:numId w:val="15"/>
        </w:numPr>
        <w:shd w:val="clear" w:color="auto" w:fill="auto"/>
        <w:tabs>
          <w:tab w:val="left" w:pos="864"/>
        </w:tabs>
        <w:spacing w:before="0" w:after="240" w:line="278" w:lineRule="exact"/>
        <w:ind w:firstLine="480"/>
        <w:jc w:val="both"/>
      </w:pPr>
      <w:r>
        <w:rPr>
          <w:rStyle w:val="Bodytext1"/>
        </w:rPr>
        <w:t xml:space="preserve">Any </w:t>
      </w:r>
      <w:r>
        <w:rPr>
          <w:rStyle w:val="Bodytext1"/>
        </w:rPr>
        <w:t>appeal under this regulation shall be brought within thirty days after the decision of the assessment committee has been made known to the taxpayer and the subcounty chief, the assistant town clerk or town clerk respectively of the subcounty, city division</w:t>
      </w:r>
      <w:r>
        <w:rPr>
          <w:rStyle w:val="Bodytext1"/>
        </w:rPr>
        <w:t xml:space="preserve"> or municipal division or town council, as the case may be.</w:t>
      </w:r>
    </w:p>
    <w:p w:rsidR="00B53FD4" w:rsidRDefault="00FF39C6">
      <w:pPr>
        <w:pStyle w:val="Bodytext0"/>
        <w:numPr>
          <w:ilvl w:val="0"/>
          <w:numId w:val="15"/>
        </w:numPr>
        <w:shd w:val="clear" w:color="auto" w:fill="auto"/>
        <w:tabs>
          <w:tab w:val="left" w:pos="821"/>
        </w:tabs>
        <w:spacing w:before="0" w:after="0" w:line="278" w:lineRule="exact"/>
        <w:ind w:firstLine="480"/>
        <w:jc w:val="both"/>
        <w:sectPr w:rsidR="00B53FD4">
          <w:headerReference w:type="default" r:id="rId18"/>
          <w:footerReference w:type="default" r:id="rId19"/>
          <w:headerReference w:type="first" r:id="rId20"/>
          <w:footerReference w:type="first" r:id="rId21"/>
          <w:type w:val="continuous"/>
          <w:pgSz w:w="12240" w:h="15840"/>
          <w:pgMar w:top="2300" w:right="2789" w:bottom="2607" w:left="2789" w:header="0" w:footer="3" w:gutter="0"/>
          <w:cols w:space="720"/>
          <w:noEndnote/>
          <w:titlePg/>
          <w:docGrid w:linePitch="360"/>
        </w:sectPr>
      </w:pPr>
      <w:r>
        <w:rPr>
          <w:rStyle w:val="Bodytext1"/>
        </w:rPr>
        <w:t>Any person aggrieved by the decision of the tax assessm</w:t>
      </w:r>
      <w:r>
        <w:rPr>
          <w:rStyle w:val="Bodytext1"/>
        </w:rPr>
        <w:t>ent appeals tribunal may appeal to the Minister.</w:t>
      </w:r>
    </w:p>
    <w:p w:rsidR="00B53FD4" w:rsidRDefault="00FF39C6">
      <w:pPr>
        <w:pStyle w:val="Heading10"/>
        <w:keepNext/>
        <w:keepLines/>
        <w:numPr>
          <w:ilvl w:val="0"/>
          <w:numId w:val="3"/>
        </w:numPr>
        <w:shd w:val="clear" w:color="auto" w:fill="auto"/>
        <w:tabs>
          <w:tab w:val="left" w:pos="486"/>
        </w:tabs>
        <w:spacing w:before="0" w:line="230" w:lineRule="exact"/>
        <w:ind w:left="20" w:firstLine="0"/>
        <w:jc w:val="left"/>
      </w:pPr>
      <w:bookmarkStart w:id="11" w:name="bookmark11"/>
      <w:r>
        <w:rPr>
          <w:rStyle w:val="Heading11"/>
        </w:rPr>
        <w:lastRenderedPageBreak/>
        <w:t>Attendance before committee, etc.</w:t>
      </w:r>
      <w:bookmarkEnd w:id="11"/>
    </w:p>
    <w:p w:rsidR="00B53FD4" w:rsidRDefault="00FF39C6">
      <w:pPr>
        <w:pStyle w:val="Bodytext0"/>
        <w:numPr>
          <w:ilvl w:val="0"/>
          <w:numId w:val="18"/>
        </w:numPr>
        <w:shd w:val="clear" w:color="auto" w:fill="auto"/>
        <w:tabs>
          <w:tab w:val="left" w:pos="889"/>
        </w:tabs>
        <w:spacing w:before="0" w:after="180" w:line="278" w:lineRule="exact"/>
        <w:ind w:left="20" w:right="40" w:firstLine="480"/>
        <w:jc w:val="both"/>
      </w:pPr>
      <w:r>
        <w:rPr>
          <w:rStyle w:val="Bodytext1"/>
        </w:rPr>
        <w:t xml:space="preserve">A tax assessment committee or a tax assessment appeals tribunal may require any person, other than a person who agrees in writing to pay the maximum rate of local service </w:t>
      </w:r>
      <w:r>
        <w:rPr>
          <w:rStyle w:val="Bodytext1"/>
        </w:rPr>
        <w:t>tax, to attend before it when his or her case is being considered; and that person or the employer of that person shall furnish the committee, officer or tribunal with the information that may be required of him or her to enable the committee, officer or t</w:t>
      </w:r>
      <w:r>
        <w:rPr>
          <w:rStyle w:val="Bodytext1"/>
        </w:rPr>
        <w:t>ribunal to reach a proper decision.</w:t>
      </w:r>
    </w:p>
    <w:p w:rsidR="00B53FD4" w:rsidRDefault="00FF39C6">
      <w:pPr>
        <w:pStyle w:val="Bodytext0"/>
        <w:numPr>
          <w:ilvl w:val="0"/>
          <w:numId w:val="18"/>
        </w:numPr>
        <w:shd w:val="clear" w:color="auto" w:fill="auto"/>
        <w:tabs>
          <w:tab w:val="left" w:pos="884"/>
        </w:tabs>
        <w:spacing w:before="0" w:after="219" w:line="278" w:lineRule="exact"/>
        <w:ind w:left="20" w:right="40" w:firstLine="480"/>
        <w:jc w:val="both"/>
      </w:pPr>
      <w:r>
        <w:rPr>
          <w:rStyle w:val="Bodytext1"/>
        </w:rPr>
        <w:t xml:space="preserve">Any person who wilfully neglects or refuses to attend or when attending wilfully refuses to furnish information lawfully required of him or her commits an offence and is liable on conviction to a fine not </w:t>
      </w:r>
      <w:r>
        <w:rPr>
          <w:rStyle w:val="Bodytext1"/>
        </w:rPr>
        <w:lastRenderedPageBreak/>
        <w:t xml:space="preserve">exceeding half </w:t>
      </w:r>
      <w:r>
        <w:rPr>
          <w:rStyle w:val="Bodytext1"/>
        </w:rPr>
        <w:t>a currency point or imprisonment not exceeding one month or both.</w:t>
      </w:r>
    </w:p>
    <w:p w:rsidR="00B53FD4" w:rsidRDefault="00FF39C6">
      <w:pPr>
        <w:pStyle w:val="Heading10"/>
        <w:keepNext/>
        <w:keepLines/>
        <w:numPr>
          <w:ilvl w:val="0"/>
          <w:numId w:val="3"/>
        </w:numPr>
        <w:shd w:val="clear" w:color="auto" w:fill="auto"/>
        <w:tabs>
          <w:tab w:val="left" w:pos="490"/>
        </w:tabs>
        <w:spacing w:before="0" w:line="230" w:lineRule="exact"/>
        <w:ind w:left="20" w:firstLine="0"/>
        <w:jc w:val="left"/>
      </w:pPr>
      <w:bookmarkStart w:id="12" w:name="bookmark12"/>
      <w:r>
        <w:rPr>
          <w:rStyle w:val="Heading11"/>
        </w:rPr>
        <w:t>Recovery of tax and penalty for non payment.</w:t>
      </w:r>
      <w:bookmarkEnd w:id="12"/>
    </w:p>
    <w:p w:rsidR="00B53FD4" w:rsidRDefault="00FF39C6">
      <w:pPr>
        <w:pStyle w:val="Bodytext0"/>
        <w:numPr>
          <w:ilvl w:val="0"/>
          <w:numId w:val="19"/>
        </w:numPr>
        <w:shd w:val="clear" w:color="auto" w:fill="auto"/>
        <w:tabs>
          <w:tab w:val="left" w:pos="850"/>
        </w:tabs>
        <w:spacing w:before="0" w:after="180" w:line="278" w:lineRule="exact"/>
        <w:ind w:left="20" w:right="40" w:firstLine="480"/>
        <w:jc w:val="both"/>
      </w:pPr>
      <w:r>
        <w:rPr>
          <w:rStyle w:val="Bodytext1"/>
        </w:rPr>
        <w:t xml:space="preserve">Where the local service tax payable or any part of it remains unpaid at the end of the first four months of the financial year, there shall be a </w:t>
      </w:r>
      <w:r>
        <w:rPr>
          <w:rStyle w:val="Bodytext1"/>
        </w:rPr>
        <w:t>surcharge of 50 percent of the amount remaining unpaid.</w:t>
      </w:r>
    </w:p>
    <w:p w:rsidR="00B53FD4" w:rsidRDefault="00FF39C6">
      <w:pPr>
        <w:pStyle w:val="Bodytext0"/>
        <w:numPr>
          <w:ilvl w:val="0"/>
          <w:numId w:val="19"/>
        </w:numPr>
        <w:shd w:val="clear" w:color="auto" w:fill="auto"/>
        <w:tabs>
          <w:tab w:val="left" w:pos="860"/>
        </w:tabs>
        <w:spacing w:before="0" w:after="180" w:line="278" w:lineRule="exact"/>
        <w:ind w:left="20" w:right="40" w:firstLine="480"/>
        <w:jc w:val="both"/>
      </w:pPr>
      <w:r>
        <w:rPr>
          <w:rStyle w:val="Bodytext1"/>
        </w:rPr>
        <w:t>The provisions relating to the collection and enforcement of tax shall apply to the collection and enforcement of surcharges.</w:t>
      </w:r>
    </w:p>
    <w:p w:rsidR="00B53FD4" w:rsidRDefault="00FF39C6">
      <w:pPr>
        <w:pStyle w:val="Bodytext0"/>
        <w:numPr>
          <w:ilvl w:val="0"/>
          <w:numId w:val="19"/>
        </w:numPr>
        <w:shd w:val="clear" w:color="auto" w:fill="auto"/>
        <w:tabs>
          <w:tab w:val="left" w:pos="889"/>
        </w:tabs>
        <w:spacing w:before="0" w:after="176" w:line="278" w:lineRule="exact"/>
        <w:ind w:left="20" w:right="40" w:firstLine="480"/>
        <w:jc w:val="both"/>
      </w:pPr>
      <w:r>
        <w:rPr>
          <w:rStyle w:val="Bodytext1"/>
        </w:rPr>
        <w:t xml:space="preserve">Subject to this regulation, any person who without lawful excuse, the </w:t>
      </w:r>
      <w:r>
        <w:rPr>
          <w:rStyle w:val="Bodytext1"/>
        </w:rPr>
        <w:t xml:space="preserve">proof of which shall lie on him or her, refuses, neglects or fails to pay the tax to which he or she is liable under these Regulations, four months from the date the tax is due, commits an offence and is liable on conviction to imprisonment for a term not </w:t>
      </w:r>
      <w:r>
        <w:rPr>
          <w:rStyle w:val="Bodytext1"/>
        </w:rPr>
        <w:t>exceeding one month or to a fine not exceeding double the amount of the tax due.</w:t>
      </w:r>
    </w:p>
    <w:p w:rsidR="00B53FD4" w:rsidRDefault="00FF39C6">
      <w:pPr>
        <w:pStyle w:val="Bodytext0"/>
        <w:numPr>
          <w:ilvl w:val="0"/>
          <w:numId w:val="19"/>
        </w:numPr>
        <w:shd w:val="clear" w:color="auto" w:fill="auto"/>
        <w:tabs>
          <w:tab w:val="left" w:pos="884"/>
        </w:tabs>
        <w:spacing w:before="0" w:after="180" w:line="283" w:lineRule="exact"/>
        <w:ind w:left="20" w:right="40" w:firstLine="480"/>
        <w:jc w:val="both"/>
      </w:pPr>
      <w:r>
        <w:rPr>
          <w:rStyle w:val="Bodytext1"/>
        </w:rPr>
        <w:t>Notwithstanding any other provision of this regulation, a taxpayer may be sued by a district or urban council for the recovery of the local service tax due.</w:t>
      </w:r>
    </w:p>
    <w:p w:rsidR="00B53FD4" w:rsidRDefault="00FF39C6">
      <w:pPr>
        <w:pStyle w:val="Bodytext0"/>
        <w:numPr>
          <w:ilvl w:val="0"/>
          <w:numId w:val="19"/>
        </w:numPr>
        <w:shd w:val="clear" w:color="auto" w:fill="auto"/>
        <w:tabs>
          <w:tab w:val="left" w:pos="884"/>
        </w:tabs>
        <w:spacing w:before="0" w:after="0" w:line="283" w:lineRule="exact"/>
        <w:ind w:left="20" w:right="40" w:firstLine="480"/>
        <w:jc w:val="both"/>
      </w:pPr>
      <w:r>
        <w:rPr>
          <w:rStyle w:val="Bodytext1"/>
        </w:rPr>
        <w:t>For the purposes o</w:t>
      </w:r>
      <w:r>
        <w:rPr>
          <w:rStyle w:val="Bodytext1"/>
        </w:rPr>
        <w:t>f this regulation, local service tax due includes local service tax due and payable during the two years immediately preceding the year in which proceedings are instituted.”</w:t>
      </w:r>
    </w:p>
    <w:p w:rsidR="00B53FD4" w:rsidRDefault="00FF39C6">
      <w:pPr>
        <w:pStyle w:val="Heading10"/>
        <w:keepNext/>
        <w:keepLines/>
        <w:numPr>
          <w:ilvl w:val="0"/>
          <w:numId w:val="1"/>
        </w:numPr>
        <w:shd w:val="clear" w:color="auto" w:fill="auto"/>
        <w:tabs>
          <w:tab w:val="left" w:pos="495"/>
        </w:tabs>
        <w:spacing w:before="0" w:line="230" w:lineRule="exact"/>
        <w:ind w:left="20" w:firstLine="0"/>
      </w:pPr>
      <w:bookmarkStart w:id="13" w:name="bookmark13"/>
      <w:r>
        <w:rPr>
          <w:rStyle w:val="Heading11"/>
        </w:rPr>
        <w:t>Amendment of section 175 of principal Act.</w:t>
      </w:r>
      <w:bookmarkEnd w:id="13"/>
    </w:p>
    <w:p w:rsidR="00B53FD4" w:rsidRDefault="00FF39C6">
      <w:pPr>
        <w:pStyle w:val="Bodytext0"/>
        <w:shd w:val="clear" w:color="auto" w:fill="auto"/>
        <w:spacing w:before="0" w:after="240" w:line="278" w:lineRule="exact"/>
        <w:ind w:left="20" w:firstLine="0"/>
        <w:jc w:val="both"/>
      </w:pPr>
      <w:r>
        <w:rPr>
          <w:rStyle w:val="Bodytext1"/>
        </w:rPr>
        <w:t xml:space="preserve">Section 175 of the principal Act is </w:t>
      </w:r>
      <w:r>
        <w:rPr>
          <w:rStyle w:val="Bodytext1"/>
        </w:rPr>
        <w:t>amended by inserting immediately after subsection (3) the following—</w:t>
      </w:r>
    </w:p>
    <w:p w:rsidR="00B53FD4" w:rsidRDefault="00FF39C6">
      <w:pPr>
        <w:pStyle w:val="Bodytext0"/>
        <w:shd w:val="clear" w:color="auto" w:fill="auto"/>
        <w:spacing w:before="0" w:after="240" w:line="278" w:lineRule="exact"/>
        <w:ind w:left="1100" w:hanging="600"/>
        <w:jc w:val="both"/>
      </w:pPr>
      <w:r>
        <w:rPr>
          <w:rStyle w:val="Bodytext1"/>
        </w:rPr>
        <w:t>“(3 a) Regulations shall be made by the Minister under this section with the approval of Parliament prescribing the rates of local service tax in respect of commercial farmers under the F</w:t>
      </w:r>
      <w:r>
        <w:rPr>
          <w:rStyle w:val="Bodytext1"/>
        </w:rPr>
        <w:t>ifth Schedule”.</w:t>
      </w:r>
    </w:p>
    <w:p w:rsidR="00B53FD4" w:rsidRDefault="00FF39C6">
      <w:pPr>
        <w:pStyle w:val="Heading10"/>
        <w:keepNext/>
        <w:keepLines/>
        <w:numPr>
          <w:ilvl w:val="0"/>
          <w:numId w:val="1"/>
        </w:numPr>
        <w:shd w:val="clear" w:color="auto" w:fill="auto"/>
        <w:tabs>
          <w:tab w:val="left" w:pos="505"/>
        </w:tabs>
        <w:spacing w:before="0"/>
        <w:ind w:left="20" w:firstLine="0"/>
      </w:pPr>
      <w:bookmarkStart w:id="14" w:name="bookmark14"/>
      <w:r>
        <w:rPr>
          <w:rStyle w:val="Heading11"/>
        </w:rPr>
        <w:t>Transitional Provision.</w:t>
      </w:r>
      <w:bookmarkEnd w:id="14"/>
    </w:p>
    <w:p w:rsidR="00B53FD4" w:rsidRDefault="00FF39C6">
      <w:pPr>
        <w:pStyle w:val="Bodytext0"/>
        <w:shd w:val="clear" w:color="auto" w:fill="auto"/>
        <w:spacing w:before="0" w:after="0" w:line="278" w:lineRule="exact"/>
        <w:ind w:left="20" w:firstLine="0"/>
        <w:jc w:val="both"/>
      </w:pPr>
      <w:r>
        <w:rPr>
          <w:rStyle w:val="Bodytext1"/>
        </w:rPr>
        <w:t xml:space="preserve">Notwithstanding the provisions of this Act, Government shall continue to contribute the amount of at least shillings Forty five billion to local governments per year for a continuous period of three years to </w:t>
      </w:r>
      <w:r>
        <w:rPr>
          <w:rStyle w:val="Bodytext1"/>
        </w:rPr>
        <w:lastRenderedPageBreak/>
        <w:t>compensate for the vacuum created by the abolished Graduated tax.</w:t>
      </w:r>
    </w:p>
    <w:sectPr w:rsidR="00B53FD4" w:rsidSect="00B53FD4">
      <w:type w:val="continuous"/>
      <w:pgSz w:w="12240" w:h="15840"/>
      <w:pgMar w:top="2875" w:right="2771" w:bottom="2798" w:left="278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9C6" w:rsidRDefault="00FF39C6" w:rsidP="00B53FD4">
      <w:r>
        <w:separator/>
      </w:r>
    </w:p>
  </w:endnote>
  <w:endnote w:type="continuationSeparator" w:id="1">
    <w:p w:rsidR="00FF39C6" w:rsidRDefault="00FF39C6" w:rsidP="00B53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pPr>
      <w:rPr>
        <w:sz w:val="2"/>
        <w:szCs w:val="2"/>
      </w:rPr>
    </w:pPr>
    <w:r w:rsidRPr="00B53FD4">
      <w:pict>
        <v:shapetype id="_x0000_t202" coordsize="21600,21600" o:spt="202" path="m,l,21600r21600,l21600,xe">
          <v:stroke joinstyle="miter"/>
          <v:path gradientshapeok="t" o:connecttype="rect"/>
        </v:shapetype>
        <v:shape id="_x0000_s1025" type="#_x0000_t202" style="position:absolute;margin-left:300.95pt;margin-top:675.65pt;width:9.85pt;height:8.4pt;z-index:-188744064;mso-wrap-style:none;mso-wrap-distance-left:5pt;mso-wrap-distance-right:5pt;mso-position-horizontal-relative:page;mso-position-vertical-relative:page" wrapcoords="0 0" filled="f" stroked="f">
          <v:textbox style="mso-fit-shape-to-text:t" inset="0,0,0,0">
            <w:txbxContent>
              <w:p w:rsidR="00B53FD4" w:rsidRDefault="00B53FD4">
                <w:pPr>
                  <w:pStyle w:val="Headerorfooter0"/>
                  <w:shd w:val="clear" w:color="auto" w:fill="auto"/>
                  <w:spacing w:line="240" w:lineRule="auto"/>
                </w:pPr>
                <w:fldSimple w:instr=" PAGE \* MERGEFORMAT ">
                  <w:r w:rsidR="0064696F" w:rsidRPr="0064696F">
                    <w:rPr>
                      <w:rStyle w:val="HeaderorfooterBold"/>
                      <w:noProof/>
                    </w:rPr>
                    <w:t>1</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pPr>
      <w:rPr>
        <w:sz w:val="2"/>
        <w:szCs w:val="2"/>
      </w:rPr>
    </w:pPr>
    <w:r w:rsidRPr="00B53FD4">
      <w:pict>
        <v:shapetype id="_x0000_t202" coordsize="21600,21600" o:spt="202" path="m,l,21600r21600,l21600,xe">
          <v:stroke joinstyle="miter"/>
          <v:path gradientshapeok="t" o:connecttype="rect"/>
        </v:shapetype>
        <v:shape id="_x0000_s1026" type="#_x0000_t202" style="position:absolute;margin-left:300.95pt;margin-top:675.65pt;width:9.85pt;height:8.4pt;z-index:-188744063;mso-wrap-style:none;mso-wrap-distance-left:5pt;mso-wrap-distance-right:5pt;mso-position-horizontal-relative:page;mso-position-vertical-relative:page" wrapcoords="0 0" filled="f" stroked="f">
          <v:textbox style="mso-fit-shape-to-text:t" inset="0,0,0,0">
            <w:txbxContent>
              <w:p w:rsidR="00B53FD4" w:rsidRDefault="00B53FD4">
                <w:pPr>
                  <w:pStyle w:val="Headerorfooter0"/>
                  <w:shd w:val="clear" w:color="auto" w:fill="auto"/>
                  <w:spacing w:line="240" w:lineRule="auto"/>
                </w:pPr>
                <w:fldSimple w:instr=" PAGE \* MERGEFORMAT ">
                  <w:r w:rsidR="0064696F" w:rsidRPr="0064696F">
                    <w:rPr>
                      <w:rStyle w:val="HeaderorfooterBold"/>
                      <w:noProof/>
                    </w:rPr>
                    <w:t>4</w:t>
                  </w:r>
                </w:fldSimple>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pPr>
      <w:rPr>
        <w:sz w:val="2"/>
        <w:szCs w:val="2"/>
      </w:rPr>
    </w:pPr>
    <w:r w:rsidRPr="00B53FD4">
      <w:pict>
        <v:shapetype id="_x0000_t202" coordsize="21600,21600" o:spt="202" path="m,l,21600r21600,l21600,xe">
          <v:stroke joinstyle="miter"/>
          <v:path gradientshapeok="t" o:connecttype="rect"/>
        </v:shapetype>
        <v:shape id="_x0000_s1028" type="#_x0000_t202" style="position:absolute;margin-left:301.7pt;margin-top:661.3pt;width:9.85pt;height:8.15pt;z-index:-188744061;mso-wrap-style:none;mso-wrap-distance-left:5pt;mso-wrap-distance-right:5pt;mso-position-horizontal-relative:page;mso-position-vertical-relative:page" wrapcoords="0 0" filled="f" stroked="f">
          <v:textbox style="mso-fit-shape-to-text:t" inset="0,0,0,0">
            <w:txbxContent>
              <w:p w:rsidR="00B53FD4" w:rsidRDefault="00B53FD4">
                <w:pPr>
                  <w:pStyle w:val="Headerorfooter0"/>
                  <w:shd w:val="clear" w:color="auto" w:fill="auto"/>
                  <w:spacing w:line="240" w:lineRule="auto"/>
                </w:pPr>
                <w:fldSimple w:instr=" PAGE \* MERGEFORMAT ">
                  <w:r w:rsidR="00FF39C6">
                    <w:rPr>
                      <w:rStyle w:val="HeaderorfooterBold"/>
                    </w:rPr>
                    <w:t>#</w:t>
                  </w:r>
                </w:fldSimple>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pPr>
      <w:rPr>
        <w:sz w:val="2"/>
        <w:szCs w:val="2"/>
      </w:rPr>
    </w:pPr>
    <w:r w:rsidRPr="00B53FD4">
      <w:pict>
        <v:shapetype id="_x0000_t202" coordsize="21600,21600" o:spt="202" path="m,l,21600r21600,l21600,xe">
          <v:stroke joinstyle="miter"/>
          <v:path gradientshapeok="t" o:connecttype="rect"/>
        </v:shapetype>
        <v:shape id="_x0000_s1030" type="#_x0000_t202" style="position:absolute;margin-left:301.7pt;margin-top:661.3pt;width:9.85pt;height:8.15pt;z-index:-188744059;mso-wrap-style:none;mso-wrap-distance-left:5pt;mso-wrap-distance-right:5pt;mso-position-horizontal-relative:page;mso-position-vertical-relative:page" wrapcoords="0 0" filled="f" stroked="f">
          <v:textbox style="mso-fit-shape-to-text:t" inset="0,0,0,0">
            <w:txbxContent>
              <w:p w:rsidR="00B53FD4" w:rsidRDefault="00B53FD4">
                <w:pPr>
                  <w:pStyle w:val="Headerorfooter0"/>
                  <w:shd w:val="clear" w:color="auto" w:fill="auto"/>
                  <w:spacing w:line="240" w:lineRule="auto"/>
                </w:pPr>
                <w:fldSimple w:instr=" PAGE \* MERGEFORMAT ">
                  <w:r w:rsidR="0064696F" w:rsidRPr="0064696F">
                    <w:rPr>
                      <w:rStyle w:val="HeaderorfooterBold"/>
                      <w:noProof/>
                    </w:rPr>
                    <w:t>6</w:t>
                  </w:r>
                </w:fldSimple>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pPr>
      <w:rPr>
        <w:sz w:val="2"/>
        <w:szCs w:val="2"/>
      </w:rPr>
    </w:pPr>
    <w:r w:rsidRPr="00B53FD4">
      <w:pict>
        <v:shapetype id="_x0000_t202" coordsize="21600,21600" o:spt="202" path="m,l,21600r21600,l21600,xe">
          <v:stroke joinstyle="miter"/>
          <v:path gradientshapeok="t" o:connecttype="rect"/>
        </v:shapetype>
        <v:shape id="_x0000_s1032" type="#_x0000_t202" style="position:absolute;margin-left:301.7pt;margin-top:661.3pt;width:9.85pt;height:8.15pt;z-index:-188744057;mso-wrap-style:none;mso-wrap-distance-left:5pt;mso-wrap-distance-right:5pt;mso-position-horizontal-relative:page;mso-position-vertical-relative:page" wrapcoords="0 0" filled="f" stroked="f">
          <v:textbox style="mso-fit-shape-to-text:t" inset="0,0,0,0">
            <w:txbxContent>
              <w:p w:rsidR="00B53FD4" w:rsidRDefault="00B53FD4">
                <w:pPr>
                  <w:pStyle w:val="Headerorfooter0"/>
                  <w:shd w:val="clear" w:color="auto" w:fill="auto"/>
                  <w:spacing w:line="240" w:lineRule="auto"/>
                </w:pPr>
                <w:fldSimple w:instr=" PAGE \* MERGEFORMAT ">
                  <w:r w:rsidR="0064696F" w:rsidRPr="0064696F">
                    <w:rPr>
                      <w:rStyle w:val="HeaderorfooterBold"/>
                      <w:noProof/>
                    </w:rPr>
                    <w:t>9</w:t>
                  </w:r>
                </w:fldSimple>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pPr>
      <w:rPr>
        <w:sz w:val="2"/>
        <w:szCs w:val="2"/>
      </w:rPr>
    </w:pPr>
    <w:r w:rsidRPr="00B53FD4">
      <w:pict>
        <v:shapetype id="_x0000_t202" coordsize="21600,21600" o:spt="202" path="m,l,21600r21600,l21600,xe">
          <v:stroke joinstyle="miter"/>
          <v:path gradientshapeok="t" o:connecttype="rect"/>
        </v:shapetype>
        <v:shape id="_x0000_s1035" type="#_x0000_t202" style="position:absolute;margin-left:301.7pt;margin-top:661.3pt;width:9.85pt;height:8.15pt;z-index:-188744054;mso-wrap-style:none;mso-wrap-distance-left:5pt;mso-wrap-distance-right:5pt;mso-position-horizontal-relative:page;mso-position-vertical-relative:page" wrapcoords="0 0" filled="f" stroked="f">
          <v:textbox style="mso-fit-shape-to-text:t" inset="0,0,0,0">
            <w:txbxContent>
              <w:p w:rsidR="00B53FD4" w:rsidRDefault="00B53FD4">
                <w:pPr>
                  <w:pStyle w:val="Headerorfooter0"/>
                  <w:shd w:val="clear" w:color="auto" w:fill="auto"/>
                  <w:spacing w:line="240" w:lineRule="auto"/>
                </w:pPr>
                <w:fldSimple w:instr=" PAGE \* MERGEFORMAT ">
                  <w:r w:rsidR="0064696F" w:rsidRPr="0064696F">
                    <w:rPr>
                      <w:rStyle w:val="HeaderorfooterBold"/>
                      <w:noProof/>
                    </w:rPr>
                    <w:t>12</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pPr>
      <w:rPr>
        <w:sz w:val="2"/>
        <w:szCs w:val="2"/>
      </w:rPr>
    </w:pPr>
    <w:r w:rsidRPr="00B53FD4">
      <w:pict>
        <v:shapetype id="_x0000_t202" coordsize="21600,21600" o:spt="202" path="m,l,21600r21600,l21600,xe">
          <v:stroke joinstyle="miter"/>
          <v:path gradientshapeok="t" o:connecttype="rect"/>
        </v:shapetype>
        <v:shape id="_x0000_s1036" type="#_x0000_t202" style="position:absolute;margin-left:300.95pt;margin-top:675.65pt;width:9.85pt;height:8.4pt;z-index:-188744053;mso-wrap-style:none;mso-wrap-distance-left:5pt;mso-wrap-distance-right:5pt;mso-position-horizontal-relative:page;mso-position-vertical-relative:page" wrapcoords="0 0" filled="f" stroked="f">
          <v:textbox style="mso-fit-shape-to-text:t" inset="0,0,0,0">
            <w:txbxContent>
              <w:p w:rsidR="00B53FD4" w:rsidRDefault="00B53FD4">
                <w:pPr>
                  <w:pStyle w:val="Headerorfooter0"/>
                  <w:shd w:val="clear" w:color="auto" w:fill="auto"/>
                  <w:spacing w:line="240" w:lineRule="auto"/>
                </w:pPr>
                <w:fldSimple w:instr=" PAGE \* MERGEFORMAT ">
                  <w:r w:rsidR="00FF39C6">
                    <w:rPr>
                      <w:rStyle w:val="HeaderorfooterBold"/>
                    </w:rPr>
                    <w:t>#</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9C6" w:rsidRDefault="00FF39C6"/>
  </w:footnote>
  <w:footnote w:type="continuationSeparator" w:id="1">
    <w:p w:rsidR="00FF39C6" w:rsidRDefault="00FF39C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pPr>
      <w:rPr>
        <w:sz w:val="2"/>
        <w:szCs w:val="2"/>
      </w:rPr>
    </w:pPr>
    <w:r w:rsidRPr="00B53FD4">
      <w:pict>
        <v:shapetype id="_x0000_t202" coordsize="21600,21600" o:spt="202" path="m,l,21600r21600,l21600,xe">
          <v:stroke joinstyle="miter"/>
          <v:path gradientshapeok="t" o:connecttype="rect"/>
        </v:shapetype>
        <v:shape id="_x0000_s1027" type="#_x0000_t202" style="position:absolute;margin-left:139.95pt;margin-top:123.45pt;width:331.9pt;height:11.05pt;z-index:-188744062;mso-wrap-style:none;mso-wrap-distance-left:5pt;mso-wrap-distance-right:5pt;mso-position-horizontal-relative:page;mso-position-vertical-relative:page" wrapcoords="0 0" filled="f" stroked="f">
          <v:textbox style="mso-fit-shape-to-text:t" inset="0,0,0,0">
            <w:txbxContent>
              <w:p w:rsidR="00B53FD4" w:rsidRDefault="00FF39C6">
                <w:pPr>
                  <w:pStyle w:val="Headerorfooter0"/>
                  <w:shd w:val="clear" w:color="auto" w:fill="auto"/>
                  <w:spacing w:line="240" w:lineRule="auto"/>
                </w:pPr>
                <w:r>
                  <w:rPr>
                    <w:rStyle w:val="HeaderorfooterBold"/>
                  </w:rPr>
                  <w:t xml:space="preserve">Act 8 </w:t>
                </w:r>
                <w:r>
                  <w:rPr>
                    <w:rStyle w:val="Headerorfooter1"/>
                    <w:i/>
                    <w:iCs/>
                  </w:rPr>
                  <w:t>Local Governments (Amendment) (No. 2) Act</w:t>
                </w:r>
                <w:r>
                  <w:rPr>
                    <w:rStyle w:val="HeaderorfooterBold"/>
                  </w:rPr>
                  <w:t xml:space="preserve"> 2008</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pPr>
      <w:rPr>
        <w:sz w:val="2"/>
        <w:szCs w:val="2"/>
      </w:rPr>
    </w:pPr>
    <w:r w:rsidRPr="00B53FD4">
      <w:pict>
        <v:shapetype id="_x0000_t202" coordsize="21600,21600" o:spt="202" path="m,l,21600r21600,l21600,xe">
          <v:stroke joinstyle="miter"/>
          <v:path gradientshapeok="t" o:connecttype="rect"/>
        </v:shapetype>
        <v:shape id="_x0000_s1029" type="#_x0000_t202" style="position:absolute;margin-left:139.95pt;margin-top:123.45pt;width:331.9pt;height:11.05pt;z-index:-188744060;mso-wrap-style:none;mso-wrap-distance-left:5pt;mso-wrap-distance-right:5pt;mso-position-horizontal-relative:page;mso-position-vertical-relative:page" wrapcoords="0 0" filled="f" stroked="f">
          <v:textbox style="mso-fit-shape-to-text:t" inset="0,0,0,0">
            <w:txbxContent>
              <w:p w:rsidR="00B53FD4" w:rsidRDefault="00FF39C6">
                <w:pPr>
                  <w:pStyle w:val="Headerorfooter0"/>
                  <w:shd w:val="clear" w:color="auto" w:fill="auto"/>
                  <w:spacing w:line="240" w:lineRule="auto"/>
                </w:pPr>
                <w:r>
                  <w:rPr>
                    <w:rStyle w:val="HeaderorfooterBold"/>
                  </w:rPr>
                  <w:t xml:space="preserve">Act 8 </w:t>
                </w:r>
                <w:r>
                  <w:rPr>
                    <w:rStyle w:val="Headerorfooter1"/>
                    <w:i/>
                    <w:iCs/>
                  </w:rPr>
                  <w:t>Local Governments (Amendment) (No. 2) Act</w:t>
                </w:r>
                <w:r>
                  <w:rPr>
                    <w:rStyle w:val="HeaderorfooterBold"/>
                  </w:rPr>
                  <w:t xml:space="preserve"> 2008</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pPr>
      <w:rPr>
        <w:sz w:val="2"/>
        <w:szCs w:val="2"/>
      </w:rPr>
    </w:pPr>
    <w:r w:rsidRPr="00B53FD4">
      <w:pict>
        <v:shapetype id="_x0000_t202" coordsize="21600,21600" o:spt="202" path="m,l,21600r21600,l21600,xe">
          <v:stroke joinstyle="miter"/>
          <v:path gradientshapeok="t" o:connecttype="rect"/>
        </v:shapetype>
        <v:shape id="_x0000_s1031" type="#_x0000_t202" style="position:absolute;margin-left:139.95pt;margin-top:123.45pt;width:331.9pt;height:11.05pt;z-index:-188744058;mso-wrap-style:none;mso-wrap-distance-left:5pt;mso-wrap-distance-right:5pt;mso-position-horizontal-relative:page;mso-position-vertical-relative:page" wrapcoords="0 0" filled="f" stroked="f">
          <v:textbox style="mso-fit-shape-to-text:t" inset="0,0,0,0">
            <w:txbxContent>
              <w:p w:rsidR="00B53FD4" w:rsidRDefault="00FF39C6">
                <w:pPr>
                  <w:pStyle w:val="Headerorfooter0"/>
                  <w:shd w:val="clear" w:color="auto" w:fill="auto"/>
                  <w:spacing w:line="240" w:lineRule="auto"/>
                </w:pPr>
                <w:r>
                  <w:rPr>
                    <w:rStyle w:val="HeaderorfooterBold"/>
                  </w:rPr>
                  <w:t xml:space="preserve">Act 8 </w:t>
                </w:r>
                <w:r>
                  <w:rPr>
                    <w:rStyle w:val="Headerorfooter1"/>
                    <w:i/>
                    <w:iCs/>
                  </w:rPr>
                  <w:t xml:space="preserve">Local Governments (Amendment) (No. 2) </w:t>
                </w:r>
                <w:r>
                  <w:rPr>
                    <w:rStyle w:val="Headerorfooter1"/>
                    <w:i/>
                    <w:iCs/>
                  </w:rPr>
                  <w:t>Act</w:t>
                </w:r>
                <w:r>
                  <w:rPr>
                    <w:rStyle w:val="HeaderorfooterBold"/>
                  </w:rPr>
                  <w:t xml:space="preserve"> 2008</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pPr>
      <w:rPr>
        <w:sz w:val="2"/>
        <w:szCs w:val="2"/>
      </w:rPr>
    </w:pPr>
    <w:r w:rsidRPr="00B53FD4">
      <w:pict>
        <v:shapetype id="_x0000_t202" coordsize="21600,21600" o:spt="202" path="m,l,21600r21600,l21600,xe">
          <v:stroke joinstyle="miter"/>
          <v:path gradientshapeok="t" o:connecttype="rect"/>
        </v:shapetype>
        <v:shape id="_x0000_s1033" type="#_x0000_t202" style="position:absolute;margin-left:139.55pt;margin-top:115.5pt;width:331.9pt;height:11.05pt;z-index:-188744056;mso-wrap-style:none;mso-wrap-distance-left:5pt;mso-wrap-distance-right:5pt;mso-position-horizontal-relative:page;mso-position-vertical-relative:page" wrapcoords="0 0" filled="f" stroked="f">
          <v:textbox style="mso-fit-shape-to-text:t" inset="0,0,0,0">
            <w:txbxContent>
              <w:p w:rsidR="00B53FD4" w:rsidRDefault="00FF39C6">
                <w:pPr>
                  <w:pStyle w:val="Headerorfooter0"/>
                  <w:shd w:val="clear" w:color="auto" w:fill="auto"/>
                  <w:spacing w:line="240" w:lineRule="auto"/>
                </w:pPr>
                <w:r>
                  <w:rPr>
                    <w:rStyle w:val="HeaderorfooterBold"/>
                  </w:rPr>
                  <w:t xml:space="preserve">Act 8 </w:t>
                </w:r>
                <w:r>
                  <w:rPr>
                    <w:rStyle w:val="Headerorfooter1"/>
                    <w:i/>
                    <w:iCs/>
                  </w:rPr>
                  <w:t>Local Governments (Amendment) (No. 2) Act</w:t>
                </w:r>
                <w:r>
                  <w:rPr>
                    <w:rStyle w:val="HeaderorfooterBold"/>
                  </w:rPr>
                  <w:t xml:space="preserve"> 2008</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pPr>
      <w:rPr>
        <w:sz w:val="2"/>
        <w:szCs w:val="2"/>
      </w:rPr>
    </w:pPr>
    <w:r w:rsidRPr="00B53FD4">
      <w:pict>
        <v:shapetype id="_x0000_t202" coordsize="21600,21600" o:spt="202" path="m,l,21600r21600,l21600,xe">
          <v:stroke joinstyle="miter"/>
          <v:path gradientshapeok="t" o:connecttype="rect"/>
        </v:shapetype>
        <v:shape id="_x0000_s1034" type="#_x0000_t202" style="position:absolute;margin-left:139.95pt;margin-top:123.45pt;width:331.9pt;height:11.05pt;z-index:-188744055;mso-wrap-style:none;mso-wrap-distance-left:5pt;mso-wrap-distance-right:5pt;mso-position-horizontal-relative:page;mso-position-vertical-relative:page" wrapcoords="0 0" filled="f" stroked="f">
          <v:textbox style="mso-fit-shape-to-text:t" inset="0,0,0,0">
            <w:txbxContent>
              <w:p w:rsidR="00B53FD4" w:rsidRDefault="00FF39C6">
                <w:pPr>
                  <w:pStyle w:val="Headerorfooter0"/>
                  <w:shd w:val="clear" w:color="auto" w:fill="auto"/>
                  <w:spacing w:line="240" w:lineRule="auto"/>
                </w:pPr>
                <w:r>
                  <w:rPr>
                    <w:rStyle w:val="HeaderorfooterBold"/>
                  </w:rPr>
                  <w:t xml:space="preserve">Act 8 </w:t>
                </w:r>
                <w:r>
                  <w:rPr>
                    <w:rStyle w:val="Headerorfooter1"/>
                    <w:i/>
                    <w:iCs/>
                  </w:rPr>
                  <w:t>Local Governments (Amendment) (No. 2) Act</w:t>
                </w:r>
                <w:r>
                  <w:rPr>
                    <w:rStyle w:val="HeaderorfooterBold"/>
                  </w:rPr>
                  <w:t xml:space="preserve"> 2008</w:t>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3FD4" w:rsidRDefault="00B53FD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A3149"/>
    <w:multiLevelType w:val="multilevel"/>
    <w:tmpl w:val="FCD8A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DE3A6A"/>
    <w:multiLevelType w:val="multilevel"/>
    <w:tmpl w:val="898EA4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A44F3A"/>
    <w:multiLevelType w:val="multilevel"/>
    <w:tmpl w:val="457873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24224D"/>
    <w:multiLevelType w:val="multilevel"/>
    <w:tmpl w:val="3F5CF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E70347"/>
    <w:multiLevelType w:val="multilevel"/>
    <w:tmpl w:val="AEAA23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317511D"/>
    <w:multiLevelType w:val="multilevel"/>
    <w:tmpl w:val="0E6A5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630D8E"/>
    <w:multiLevelType w:val="multilevel"/>
    <w:tmpl w:val="500A1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997224"/>
    <w:multiLevelType w:val="multilevel"/>
    <w:tmpl w:val="57629A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F7451F"/>
    <w:multiLevelType w:val="multilevel"/>
    <w:tmpl w:val="11CC23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F0E4BA5"/>
    <w:multiLevelType w:val="multilevel"/>
    <w:tmpl w:val="895E6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C4446F"/>
    <w:multiLevelType w:val="multilevel"/>
    <w:tmpl w:val="2DCC55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BD5920"/>
    <w:multiLevelType w:val="multilevel"/>
    <w:tmpl w:val="C64864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87025F3"/>
    <w:multiLevelType w:val="multilevel"/>
    <w:tmpl w:val="1C22A9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9383DBF"/>
    <w:multiLevelType w:val="multilevel"/>
    <w:tmpl w:val="1E888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F6930BB"/>
    <w:multiLevelType w:val="multilevel"/>
    <w:tmpl w:val="5CF0E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11E3363"/>
    <w:multiLevelType w:val="multilevel"/>
    <w:tmpl w:val="185CFD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E80787"/>
    <w:multiLevelType w:val="multilevel"/>
    <w:tmpl w:val="DF9E337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C0D32AB"/>
    <w:multiLevelType w:val="multilevel"/>
    <w:tmpl w:val="EB1667B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B419AB"/>
    <w:multiLevelType w:val="multilevel"/>
    <w:tmpl w:val="E728A8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17"/>
  </w:num>
  <w:num w:numId="3">
    <w:abstractNumId w:val="3"/>
  </w:num>
  <w:num w:numId="4">
    <w:abstractNumId w:val="5"/>
  </w:num>
  <w:num w:numId="5">
    <w:abstractNumId w:val="11"/>
  </w:num>
  <w:num w:numId="6">
    <w:abstractNumId w:val="7"/>
  </w:num>
  <w:num w:numId="7">
    <w:abstractNumId w:val="8"/>
  </w:num>
  <w:num w:numId="8">
    <w:abstractNumId w:val="2"/>
  </w:num>
  <w:num w:numId="9">
    <w:abstractNumId w:val="14"/>
  </w:num>
  <w:num w:numId="10">
    <w:abstractNumId w:val="6"/>
  </w:num>
  <w:num w:numId="11">
    <w:abstractNumId w:val="9"/>
  </w:num>
  <w:num w:numId="12">
    <w:abstractNumId w:val="4"/>
  </w:num>
  <w:num w:numId="13">
    <w:abstractNumId w:val="0"/>
  </w:num>
  <w:num w:numId="14">
    <w:abstractNumId w:val="1"/>
  </w:num>
  <w:num w:numId="15">
    <w:abstractNumId w:val="13"/>
  </w:num>
  <w:num w:numId="16">
    <w:abstractNumId w:val="18"/>
  </w:num>
  <w:num w:numId="17">
    <w:abstractNumId w:val="16"/>
  </w:num>
  <w:num w:numId="18">
    <w:abstractNumId w:val="10"/>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doNotExpandShiftReturn/>
  </w:compat>
  <w:rsids>
    <w:rsidRoot w:val="00B53FD4"/>
    <w:rsid w:val="0064696F"/>
    <w:rsid w:val="00B53FD4"/>
    <w:rsid w:val="00FF39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53FD4"/>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53FD4"/>
    <w:rPr>
      <w:color w:val="0066CC"/>
      <w:u w:val="single"/>
    </w:rPr>
  </w:style>
  <w:style w:type="character" w:customStyle="1" w:styleId="Bodytext2">
    <w:name w:val="Body text (2)_"/>
    <w:basedOn w:val="DefaultParagraphFont"/>
    <w:link w:val="Bodytext20"/>
    <w:rsid w:val="00B53FD4"/>
    <w:rPr>
      <w:rFonts w:ascii="Times New Roman" w:eastAsia="Times New Roman" w:hAnsi="Times New Roman" w:cs="Times New Roman"/>
      <w:b/>
      <w:bCs/>
      <w:i w:val="0"/>
      <w:iCs w:val="0"/>
      <w:smallCaps w:val="0"/>
      <w:strike w:val="0"/>
      <w:sz w:val="19"/>
      <w:szCs w:val="19"/>
      <w:u w:val="none"/>
    </w:rPr>
  </w:style>
  <w:style w:type="character" w:customStyle="1" w:styleId="Bodytext21">
    <w:name w:val="Body text (2)"/>
    <w:basedOn w:val="Bodytext2"/>
    <w:rsid w:val="00B53FD4"/>
    <w:rPr>
      <w:color w:val="000000"/>
      <w:spacing w:val="0"/>
      <w:w w:val="100"/>
      <w:position w:val="0"/>
      <w:lang w:val="en-US"/>
    </w:rPr>
  </w:style>
  <w:style w:type="character" w:customStyle="1" w:styleId="Headerorfooter">
    <w:name w:val="Header or footer_"/>
    <w:basedOn w:val="DefaultParagraphFont"/>
    <w:link w:val="Headerorfooter0"/>
    <w:rsid w:val="00B53FD4"/>
    <w:rPr>
      <w:rFonts w:ascii="Times New Roman" w:eastAsia="Times New Roman" w:hAnsi="Times New Roman" w:cs="Times New Roman"/>
      <w:b w:val="0"/>
      <w:bCs w:val="0"/>
      <w:i/>
      <w:iCs/>
      <w:smallCaps w:val="0"/>
      <w:strike w:val="0"/>
      <w:sz w:val="23"/>
      <w:szCs w:val="23"/>
      <w:u w:val="none"/>
    </w:rPr>
  </w:style>
  <w:style w:type="character" w:customStyle="1" w:styleId="HeaderorfooterBold">
    <w:name w:val="Header or footer + Bold"/>
    <w:aliases w:val="Not Italic"/>
    <w:basedOn w:val="Headerorfooter"/>
    <w:rsid w:val="00B53FD4"/>
    <w:rPr>
      <w:b/>
      <w:bCs/>
      <w:i/>
      <w:iCs/>
      <w:color w:val="000000"/>
      <w:spacing w:val="0"/>
      <w:w w:val="100"/>
      <w:position w:val="0"/>
      <w:lang w:val="en-US"/>
    </w:rPr>
  </w:style>
  <w:style w:type="character" w:customStyle="1" w:styleId="Bodytext3">
    <w:name w:val="Body text (3)_"/>
    <w:basedOn w:val="DefaultParagraphFont"/>
    <w:link w:val="Bodytext30"/>
    <w:rsid w:val="00B53FD4"/>
    <w:rPr>
      <w:rFonts w:ascii="Times New Roman" w:eastAsia="Times New Roman" w:hAnsi="Times New Roman" w:cs="Times New Roman"/>
      <w:b w:val="0"/>
      <w:bCs w:val="0"/>
      <w:i/>
      <w:iCs/>
      <w:smallCaps w:val="0"/>
      <w:strike w:val="0"/>
      <w:sz w:val="15"/>
      <w:szCs w:val="15"/>
      <w:u w:val="none"/>
    </w:rPr>
  </w:style>
  <w:style w:type="character" w:customStyle="1" w:styleId="Bodytext31">
    <w:name w:val="Body text (3)"/>
    <w:basedOn w:val="Bodytext3"/>
    <w:rsid w:val="00B53FD4"/>
    <w:rPr>
      <w:color w:val="000000"/>
      <w:spacing w:val="0"/>
      <w:w w:val="100"/>
      <w:position w:val="0"/>
      <w:lang w:val="en-US"/>
    </w:rPr>
  </w:style>
  <w:style w:type="character" w:customStyle="1" w:styleId="Bodytext4">
    <w:name w:val="Body text (4)_"/>
    <w:basedOn w:val="DefaultParagraphFont"/>
    <w:link w:val="Bodytext40"/>
    <w:rsid w:val="00B53FD4"/>
    <w:rPr>
      <w:rFonts w:ascii="Times New Roman" w:eastAsia="Times New Roman" w:hAnsi="Times New Roman" w:cs="Times New Roman"/>
      <w:b w:val="0"/>
      <w:bCs w:val="0"/>
      <w:i w:val="0"/>
      <w:iCs w:val="0"/>
      <w:smallCaps w:val="0"/>
      <w:strike w:val="0"/>
      <w:sz w:val="15"/>
      <w:szCs w:val="15"/>
      <w:u w:val="none"/>
    </w:rPr>
  </w:style>
  <w:style w:type="character" w:customStyle="1" w:styleId="Bodytext41">
    <w:name w:val="Body text (4)"/>
    <w:basedOn w:val="Bodytext4"/>
    <w:rsid w:val="00B53FD4"/>
    <w:rPr>
      <w:color w:val="000000"/>
      <w:spacing w:val="0"/>
      <w:w w:val="100"/>
      <w:position w:val="0"/>
      <w:lang w:val="en-US"/>
    </w:rPr>
  </w:style>
  <w:style w:type="character" w:customStyle="1" w:styleId="Bodytext5">
    <w:name w:val="Body text (5)_"/>
    <w:basedOn w:val="DefaultParagraphFont"/>
    <w:link w:val="Bodytext50"/>
    <w:rsid w:val="00B53FD4"/>
    <w:rPr>
      <w:rFonts w:ascii="Times New Roman" w:eastAsia="Times New Roman" w:hAnsi="Times New Roman" w:cs="Times New Roman"/>
      <w:b w:val="0"/>
      <w:bCs w:val="0"/>
      <w:i/>
      <w:iCs/>
      <w:smallCaps w:val="0"/>
      <w:strike w:val="0"/>
      <w:sz w:val="23"/>
      <w:szCs w:val="23"/>
      <w:u w:val="none"/>
    </w:rPr>
  </w:style>
  <w:style w:type="character" w:customStyle="1" w:styleId="Bodytext5NotItalic">
    <w:name w:val="Body text (5) + Not Italic"/>
    <w:basedOn w:val="Bodytext5"/>
    <w:rsid w:val="00B53FD4"/>
    <w:rPr>
      <w:i/>
      <w:iCs/>
      <w:color w:val="000000"/>
      <w:spacing w:val="0"/>
      <w:w w:val="100"/>
      <w:position w:val="0"/>
      <w:lang w:val="en-US"/>
    </w:rPr>
  </w:style>
  <w:style w:type="character" w:customStyle="1" w:styleId="Bodytext51">
    <w:name w:val="Body text (5)"/>
    <w:basedOn w:val="Bodytext5"/>
    <w:rsid w:val="00B53FD4"/>
    <w:rPr>
      <w:color w:val="000000"/>
      <w:spacing w:val="0"/>
      <w:w w:val="100"/>
      <w:position w:val="0"/>
      <w:lang w:val="en-US"/>
    </w:rPr>
  </w:style>
  <w:style w:type="character" w:customStyle="1" w:styleId="Bodytext">
    <w:name w:val="Body text_"/>
    <w:basedOn w:val="DefaultParagraphFont"/>
    <w:link w:val="Bodytext0"/>
    <w:rsid w:val="00B53FD4"/>
    <w:rPr>
      <w:rFonts w:ascii="Times New Roman" w:eastAsia="Times New Roman" w:hAnsi="Times New Roman" w:cs="Times New Roman"/>
      <w:b w:val="0"/>
      <w:bCs w:val="0"/>
      <w:i w:val="0"/>
      <w:iCs w:val="0"/>
      <w:smallCaps w:val="0"/>
      <w:strike w:val="0"/>
      <w:sz w:val="23"/>
      <w:szCs w:val="23"/>
      <w:u w:val="none"/>
    </w:rPr>
  </w:style>
  <w:style w:type="character" w:customStyle="1" w:styleId="Bodytext1">
    <w:name w:val="Body text"/>
    <w:basedOn w:val="Bodytext"/>
    <w:rsid w:val="00B53FD4"/>
    <w:rPr>
      <w:color w:val="000000"/>
      <w:spacing w:val="0"/>
      <w:w w:val="100"/>
      <w:position w:val="0"/>
      <w:lang w:val="en-US"/>
    </w:rPr>
  </w:style>
  <w:style w:type="character" w:customStyle="1" w:styleId="BodytextSmallCaps">
    <w:name w:val="Body text + Small Caps"/>
    <w:basedOn w:val="Bodytext"/>
    <w:rsid w:val="00B53FD4"/>
    <w:rPr>
      <w:smallCaps/>
      <w:color w:val="000000"/>
      <w:spacing w:val="0"/>
      <w:w w:val="100"/>
      <w:position w:val="0"/>
      <w:lang w:val="en-US"/>
    </w:rPr>
  </w:style>
  <w:style w:type="character" w:customStyle="1" w:styleId="Heading1">
    <w:name w:val="Heading #1_"/>
    <w:basedOn w:val="DefaultParagraphFont"/>
    <w:link w:val="Heading10"/>
    <w:rsid w:val="00B53FD4"/>
    <w:rPr>
      <w:rFonts w:ascii="Times New Roman" w:eastAsia="Times New Roman" w:hAnsi="Times New Roman" w:cs="Times New Roman"/>
      <w:b w:val="0"/>
      <w:bCs w:val="0"/>
      <w:i w:val="0"/>
      <w:iCs w:val="0"/>
      <w:smallCaps w:val="0"/>
      <w:strike w:val="0"/>
      <w:sz w:val="23"/>
      <w:szCs w:val="23"/>
      <w:u w:val="none"/>
    </w:rPr>
  </w:style>
  <w:style w:type="character" w:customStyle="1" w:styleId="Heading11">
    <w:name w:val="Heading #1"/>
    <w:basedOn w:val="Heading1"/>
    <w:rsid w:val="00B53FD4"/>
    <w:rPr>
      <w:color w:val="000000"/>
      <w:spacing w:val="0"/>
      <w:w w:val="100"/>
      <w:position w:val="0"/>
      <w:lang w:val="en-US"/>
    </w:rPr>
  </w:style>
  <w:style w:type="character" w:customStyle="1" w:styleId="Bodytext105pt">
    <w:name w:val="Body text + 10.5 pt"/>
    <w:aliases w:val="Bold"/>
    <w:basedOn w:val="Bodytext"/>
    <w:rsid w:val="00B53FD4"/>
    <w:rPr>
      <w:b/>
      <w:bCs/>
      <w:color w:val="000000"/>
      <w:spacing w:val="0"/>
      <w:w w:val="100"/>
      <w:position w:val="0"/>
      <w:sz w:val="21"/>
      <w:szCs w:val="21"/>
      <w:lang w:val="en-US"/>
    </w:rPr>
  </w:style>
  <w:style w:type="character" w:customStyle="1" w:styleId="Bodytext6">
    <w:name w:val="Body text"/>
    <w:basedOn w:val="Bodytext"/>
    <w:rsid w:val="00B53FD4"/>
    <w:rPr>
      <w:color w:val="000000"/>
      <w:spacing w:val="0"/>
      <w:w w:val="100"/>
      <w:position w:val="0"/>
      <w:lang w:val="en-US"/>
    </w:rPr>
  </w:style>
  <w:style w:type="character" w:customStyle="1" w:styleId="Headerorfooter1">
    <w:name w:val="Header or footer"/>
    <w:basedOn w:val="Headerorfooter"/>
    <w:rsid w:val="00B53FD4"/>
    <w:rPr>
      <w:color w:val="000000"/>
      <w:spacing w:val="0"/>
      <w:w w:val="100"/>
      <w:position w:val="0"/>
      <w:lang w:val="en-US"/>
    </w:rPr>
  </w:style>
  <w:style w:type="character" w:customStyle="1" w:styleId="BodytextItalic">
    <w:name w:val="Body text + Italic"/>
    <w:basedOn w:val="Bodytext"/>
    <w:rsid w:val="00B53FD4"/>
    <w:rPr>
      <w:i/>
      <w:iCs/>
      <w:color w:val="000000"/>
      <w:spacing w:val="0"/>
      <w:w w:val="100"/>
      <w:position w:val="0"/>
      <w:lang w:val="en-US"/>
    </w:rPr>
  </w:style>
  <w:style w:type="character" w:customStyle="1" w:styleId="Bodytext95pt">
    <w:name w:val="Body text + 9.5 pt"/>
    <w:aliases w:val="Bold"/>
    <w:basedOn w:val="Bodytext"/>
    <w:rsid w:val="00B53FD4"/>
    <w:rPr>
      <w:b/>
      <w:bCs/>
      <w:color w:val="000000"/>
      <w:spacing w:val="0"/>
      <w:w w:val="100"/>
      <w:position w:val="0"/>
      <w:sz w:val="19"/>
      <w:szCs w:val="19"/>
      <w:lang w:val="en-US"/>
    </w:rPr>
  </w:style>
  <w:style w:type="character" w:customStyle="1" w:styleId="Bodytext9pt">
    <w:name w:val="Body text + 9 pt"/>
    <w:basedOn w:val="Bodytext"/>
    <w:rsid w:val="00B53FD4"/>
    <w:rPr>
      <w:color w:val="000000"/>
      <w:spacing w:val="0"/>
      <w:w w:val="100"/>
      <w:position w:val="0"/>
      <w:sz w:val="18"/>
      <w:szCs w:val="18"/>
      <w:lang w:val="en-US"/>
    </w:rPr>
  </w:style>
  <w:style w:type="paragraph" w:customStyle="1" w:styleId="Bodytext20">
    <w:name w:val="Body text (2)"/>
    <w:basedOn w:val="Normal"/>
    <w:link w:val="Bodytext2"/>
    <w:rsid w:val="00B53FD4"/>
    <w:pPr>
      <w:shd w:val="clear" w:color="auto" w:fill="FFFFFF"/>
      <w:spacing w:line="221" w:lineRule="exact"/>
      <w:jc w:val="both"/>
    </w:pPr>
    <w:rPr>
      <w:rFonts w:ascii="Times New Roman" w:eastAsia="Times New Roman" w:hAnsi="Times New Roman" w:cs="Times New Roman"/>
      <w:b/>
      <w:bCs/>
      <w:sz w:val="19"/>
      <w:szCs w:val="19"/>
    </w:rPr>
  </w:style>
  <w:style w:type="paragraph" w:customStyle="1" w:styleId="Headerorfooter0">
    <w:name w:val="Header or footer"/>
    <w:basedOn w:val="Normal"/>
    <w:link w:val="Headerorfooter"/>
    <w:rsid w:val="00B53FD4"/>
    <w:pPr>
      <w:shd w:val="clear" w:color="auto" w:fill="FFFFFF"/>
      <w:spacing w:line="0" w:lineRule="atLeast"/>
    </w:pPr>
    <w:rPr>
      <w:rFonts w:ascii="Times New Roman" w:eastAsia="Times New Roman" w:hAnsi="Times New Roman" w:cs="Times New Roman"/>
      <w:i/>
      <w:iCs/>
      <w:sz w:val="23"/>
      <w:szCs w:val="23"/>
    </w:rPr>
  </w:style>
  <w:style w:type="paragraph" w:customStyle="1" w:styleId="Bodytext30">
    <w:name w:val="Body text (3)"/>
    <w:basedOn w:val="Normal"/>
    <w:link w:val="Bodytext3"/>
    <w:rsid w:val="00B53FD4"/>
    <w:pPr>
      <w:shd w:val="clear" w:color="auto" w:fill="FFFFFF"/>
      <w:spacing w:line="221" w:lineRule="exact"/>
      <w:jc w:val="center"/>
    </w:pPr>
    <w:rPr>
      <w:rFonts w:ascii="Times New Roman" w:eastAsia="Times New Roman" w:hAnsi="Times New Roman" w:cs="Times New Roman"/>
      <w:i/>
      <w:iCs/>
      <w:sz w:val="15"/>
      <w:szCs w:val="15"/>
    </w:rPr>
  </w:style>
  <w:style w:type="paragraph" w:customStyle="1" w:styleId="Bodytext40">
    <w:name w:val="Body text (4)"/>
    <w:basedOn w:val="Normal"/>
    <w:link w:val="Bodytext4"/>
    <w:rsid w:val="00B53FD4"/>
    <w:pPr>
      <w:shd w:val="clear" w:color="auto" w:fill="FFFFFF"/>
      <w:spacing w:after="360" w:line="0" w:lineRule="atLeast"/>
      <w:jc w:val="right"/>
    </w:pPr>
    <w:rPr>
      <w:rFonts w:ascii="Times New Roman" w:eastAsia="Times New Roman" w:hAnsi="Times New Roman" w:cs="Times New Roman"/>
      <w:sz w:val="15"/>
      <w:szCs w:val="15"/>
    </w:rPr>
  </w:style>
  <w:style w:type="paragraph" w:customStyle="1" w:styleId="Bodytext50">
    <w:name w:val="Body text (5)"/>
    <w:basedOn w:val="Normal"/>
    <w:link w:val="Bodytext5"/>
    <w:rsid w:val="00B53FD4"/>
    <w:pPr>
      <w:shd w:val="clear" w:color="auto" w:fill="FFFFFF"/>
      <w:spacing w:before="360" w:after="1020" w:line="0" w:lineRule="atLeast"/>
      <w:jc w:val="both"/>
    </w:pPr>
    <w:rPr>
      <w:rFonts w:ascii="Times New Roman" w:eastAsia="Times New Roman" w:hAnsi="Times New Roman" w:cs="Times New Roman"/>
      <w:i/>
      <w:iCs/>
      <w:sz w:val="23"/>
      <w:szCs w:val="23"/>
    </w:rPr>
  </w:style>
  <w:style w:type="paragraph" w:customStyle="1" w:styleId="Bodytext0">
    <w:name w:val="Body text"/>
    <w:basedOn w:val="Normal"/>
    <w:link w:val="Bodytext"/>
    <w:rsid w:val="00B53FD4"/>
    <w:pPr>
      <w:shd w:val="clear" w:color="auto" w:fill="FFFFFF"/>
      <w:spacing w:before="1020" w:after="120" w:line="0" w:lineRule="atLeast"/>
      <w:ind w:hanging="680"/>
    </w:pPr>
    <w:rPr>
      <w:rFonts w:ascii="Times New Roman" w:eastAsia="Times New Roman" w:hAnsi="Times New Roman" w:cs="Times New Roman"/>
      <w:sz w:val="23"/>
      <w:szCs w:val="23"/>
    </w:rPr>
  </w:style>
  <w:style w:type="paragraph" w:customStyle="1" w:styleId="Heading10">
    <w:name w:val="Heading #1"/>
    <w:basedOn w:val="Normal"/>
    <w:link w:val="Heading1"/>
    <w:rsid w:val="00B53FD4"/>
    <w:pPr>
      <w:shd w:val="clear" w:color="auto" w:fill="FFFFFF"/>
      <w:spacing w:before="240" w:line="278" w:lineRule="exact"/>
      <w:ind w:hanging="480"/>
      <w:jc w:val="both"/>
      <w:outlineLvl w:val="0"/>
    </w:pPr>
    <w:rPr>
      <w:rFonts w:ascii="Times New Roman" w:eastAsia="Times New Roman" w:hAnsi="Times New Roman" w:cs="Times New Roman"/>
      <w:sz w:val="23"/>
      <w:szCs w:val="23"/>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2669</Words>
  <Characters>15218</Characters>
  <Application>Microsoft Office Word</Application>
  <DocSecurity>0</DocSecurity>
  <Lines>126</Lines>
  <Paragraphs>35</Paragraphs>
  <ScaleCrop>false</ScaleCrop>
  <Company/>
  <LinksUpToDate>false</LinksUpToDate>
  <CharactersWithSpaces>17852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8 2008</dc:title>
  <dc:creator>jmugala</dc:creator>
  <cp:lastModifiedBy>jmugala</cp:lastModifiedBy>
  <cp:revision>1</cp:revision>
  <dcterms:created xsi:type="dcterms:W3CDTF">2014-06-05T09:29:00Z</dcterms:created>
  <dcterms:modified xsi:type="dcterms:W3CDTF">2014-06-05T09:31:00Z</dcterms:modified>
</cp:coreProperties>
</file>