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0C" w:rsidRDefault="00202008">
      <w:pPr>
        <w:pStyle w:val="Bodytext20"/>
        <w:shd w:val="clear" w:color="auto" w:fill="auto"/>
        <w:ind w:left="20"/>
      </w:pPr>
      <w:r>
        <w:rPr>
          <w:rStyle w:val="Bodytext21"/>
          <w:b/>
          <w:bCs/>
        </w:rPr>
        <w:t>ACTS</w:t>
      </w:r>
    </w:p>
    <w:p w:rsidR="0008120C" w:rsidRDefault="00202008">
      <w:pPr>
        <w:pStyle w:val="Bodytext20"/>
        <w:shd w:val="clear" w:color="auto" w:fill="auto"/>
        <w:tabs>
          <w:tab w:val="left" w:pos="5262"/>
        </w:tabs>
        <w:ind w:left="20"/>
      </w:pPr>
      <w:r>
        <w:rPr>
          <w:rStyle w:val="Bodytext21"/>
          <w:b/>
          <w:bCs/>
        </w:rPr>
        <w:t>SUPPLEMENT No. 3</w:t>
      </w:r>
      <w:r>
        <w:rPr>
          <w:rStyle w:val="Bodytext21"/>
          <w:b/>
          <w:bCs/>
        </w:rPr>
        <w:tab/>
        <w:t>27th June, 2008.</w:t>
      </w:r>
    </w:p>
    <w:p w:rsidR="0008120C" w:rsidRDefault="00202008">
      <w:pPr>
        <w:pStyle w:val="Bodytext20"/>
        <w:shd w:val="clear" w:color="auto" w:fill="auto"/>
        <w:ind w:left="180"/>
        <w:jc w:val="center"/>
      </w:pPr>
      <w:r>
        <w:rPr>
          <w:rStyle w:val="Bodytext21"/>
          <w:b/>
          <w:bCs/>
        </w:rPr>
        <w:t>ACTS SUPPLEMENT</w:t>
      </w:r>
    </w:p>
    <w:p w:rsidR="0008120C" w:rsidRDefault="00202008">
      <w:pPr>
        <w:pStyle w:val="Bodytext30"/>
        <w:shd w:val="clear" w:color="auto" w:fill="auto"/>
        <w:ind w:left="180"/>
      </w:pPr>
      <w:r>
        <w:rPr>
          <w:rStyle w:val="Bodytext31"/>
          <w:i/>
          <w:iCs/>
        </w:rPr>
        <w:t>to The Uganda Gazette No. 33 Volume CI dated 27th June, 2008.</w:t>
      </w:r>
    </w:p>
    <w:p w:rsidR="0008120C" w:rsidRDefault="00202008">
      <w:pPr>
        <w:pStyle w:val="Bodytext40"/>
        <w:shd w:val="clear" w:color="auto" w:fill="auto"/>
        <w:spacing w:after="254" w:line="150" w:lineRule="exact"/>
        <w:ind w:left="180"/>
      </w:pPr>
      <w:r>
        <w:rPr>
          <w:rStyle w:val="Bodytext41"/>
        </w:rPr>
        <w:t>Printed by UPPC, Entebbe, by Order of the Government.</w:t>
      </w:r>
    </w:p>
    <w:p w:rsidR="0008120C" w:rsidRDefault="00202008">
      <w:pPr>
        <w:pStyle w:val="Bodytext50"/>
        <w:shd w:val="clear" w:color="auto" w:fill="auto"/>
        <w:tabs>
          <w:tab w:val="left" w:pos="1796"/>
          <w:tab w:val="left" w:pos="6193"/>
        </w:tabs>
        <w:spacing w:before="0"/>
        <w:ind w:left="20"/>
      </w:pPr>
      <w:r>
        <w:rPr>
          <w:rStyle w:val="Bodytext5NotItalic"/>
        </w:rPr>
        <w:t>Act 6</w:t>
      </w:r>
      <w:r>
        <w:rPr>
          <w:rStyle w:val="Bodytext5NotItalic"/>
        </w:rPr>
        <w:tab/>
      </w:r>
      <w:r>
        <w:rPr>
          <w:rStyle w:val="Bodytext51"/>
          <w:i/>
          <w:iCs/>
        </w:rPr>
        <w:t>Value Added Tax (Amendment) Act</w:t>
      </w:r>
      <w:r>
        <w:rPr>
          <w:rStyle w:val="Bodytext5NotItalic"/>
        </w:rPr>
        <w:tab/>
        <w:t>2008</w:t>
      </w:r>
    </w:p>
    <w:p w:rsidR="0008120C" w:rsidRDefault="00202008">
      <w:pPr>
        <w:pStyle w:val="Bodytext60"/>
        <w:shd w:val="clear" w:color="auto" w:fill="auto"/>
        <w:spacing w:after="448"/>
        <w:ind w:left="180"/>
      </w:pPr>
      <w:r>
        <w:rPr>
          <w:rStyle w:val="Bodytext61"/>
        </w:rPr>
        <w:t xml:space="preserve">THE VALUE ADDED TAX (AMENDMENT) ACT, </w:t>
      </w:r>
      <w:r>
        <w:rPr>
          <w:rStyle w:val="Bodytext61"/>
        </w:rPr>
        <w:t>2008.</w:t>
      </w:r>
    </w:p>
    <w:p w:rsidR="0008120C" w:rsidRDefault="00202008">
      <w:pPr>
        <w:pStyle w:val="Tablecaption0"/>
        <w:framePr w:w="5290" w:wrap="notBeside" w:vAnchor="text" w:hAnchor="text" w:y="1"/>
        <w:shd w:val="clear" w:color="auto" w:fill="auto"/>
        <w:spacing w:line="210" w:lineRule="exact"/>
      </w:pPr>
      <w:r>
        <w:rPr>
          <w:rStyle w:val="Tablecaption1"/>
        </w:rPr>
        <w:t>ARRANGEMENT OF SECTIONS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531"/>
      </w:tblGrid>
      <w:tr w:rsidR="0008120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58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Bodytext105pt"/>
              </w:rPr>
              <w:t>Section.</w:t>
            </w:r>
          </w:p>
        </w:tc>
        <w:tc>
          <w:tcPr>
            <w:tcW w:w="4531" w:type="dxa"/>
            <w:shd w:val="clear" w:color="auto" w:fill="FFFFFF"/>
          </w:tcPr>
          <w:p w:rsidR="0008120C" w:rsidRDefault="0008120C">
            <w:pPr>
              <w:framePr w:w="5290" w:wrap="notBeside" w:vAnchor="text" w:hAnchor="text" w:y="1"/>
              <w:rPr>
                <w:sz w:val="10"/>
                <w:szCs w:val="10"/>
              </w:rPr>
            </w:pPr>
          </w:p>
        </w:tc>
      </w:tr>
      <w:tr w:rsidR="0008120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58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Bodytext105pt0"/>
              </w:rPr>
              <w:t>1.</w:t>
            </w:r>
          </w:p>
        </w:tc>
        <w:tc>
          <w:tcPr>
            <w:tcW w:w="4531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Bodytext105pt0"/>
              </w:rPr>
              <w:t>Commencement.</w:t>
            </w:r>
          </w:p>
        </w:tc>
      </w:tr>
      <w:tr w:rsidR="0008120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8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Bodytext105pt0"/>
              </w:rPr>
              <w:t>2.</w:t>
            </w:r>
          </w:p>
        </w:tc>
        <w:tc>
          <w:tcPr>
            <w:tcW w:w="4531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Bodytext105pt0"/>
              </w:rPr>
              <w:t>Amendment of section1 of Cap 349.</w:t>
            </w:r>
          </w:p>
        </w:tc>
      </w:tr>
      <w:tr w:rsidR="0008120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8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Bodytext105pt0"/>
              </w:rPr>
              <w:t>3.</w:t>
            </w:r>
          </w:p>
        </w:tc>
        <w:tc>
          <w:tcPr>
            <w:tcW w:w="4531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Bodytext105pt0"/>
              </w:rPr>
              <w:t>Amendment of section 6 of principal Act.</w:t>
            </w:r>
          </w:p>
        </w:tc>
      </w:tr>
      <w:tr w:rsidR="0008120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58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Bodytext105pt0"/>
              </w:rPr>
              <w:t>4.</w:t>
            </w:r>
          </w:p>
        </w:tc>
        <w:tc>
          <w:tcPr>
            <w:tcW w:w="4531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Bodytext105pt0"/>
              </w:rPr>
              <w:t>Amendment of section 7 of principal Act.</w:t>
            </w:r>
          </w:p>
        </w:tc>
      </w:tr>
      <w:tr w:rsidR="000812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8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Bodytext105pt0"/>
              </w:rPr>
              <w:t>5.</w:t>
            </w:r>
          </w:p>
        </w:tc>
        <w:tc>
          <w:tcPr>
            <w:tcW w:w="4531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Bodytext105pt0"/>
              </w:rPr>
              <w:t>Amendment of section 21 of principal Act.</w:t>
            </w:r>
          </w:p>
        </w:tc>
      </w:tr>
      <w:tr w:rsidR="0008120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58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Bodytext105pt0"/>
              </w:rPr>
              <w:t>6.</w:t>
            </w:r>
          </w:p>
        </w:tc>
        <w:tc>
          <w:tcPr>
            <w:tcW w:w="4531" w:type="dxa"/>
            <w:shd w:val="clear" w:color="auto" w:fill="FFFFFF"/>
          </w:tcPr>
          <w:p w:rsidR="0008120C" w:rsidRDefault="00202008">
            <w:pPr>
              <w:pStyle w:val="Bodytext0"/>
              <w:framePr w:w="5290" w:wrap="notBeside" w:vAnchor="text" w:hAnchor="text" w:y="1"/>
              <w:shd w:val="clear" w:color="auto" w:fill="auto"/>
              <w:spacing w:after="0" w:line="210" w:lineRule="exact"/>
              <w:ind w:left="100" w:firstLine="0"/>
              <w:jc w:val="left"/>
            </w:pPr>
            <w:r>
              <w:rPr>
                <w:rStyle w:val="Bodytext105pt0"/>
              </w:rPr>
              <w:t xml:space="preserve">Amendment of Second </w:t>
            </w:r>
            <w:r>
              <w:rPr>
                <w:rStyle w:val="Bodytext105pt0"/>
              </w:rPr>
              <w:t>Schedule to principal Act.</w:t>
            </w:r>
          </w:p>
        </w:tc>
      </w:tr>
    </w:tbl>
    <w:p w:rsidR="0008120C" w:rsidRDefault="0008120C">
      <w:pPr>
        <w:rPr>
          <w:sz w:val="2"/>
          <w:szCs w:val="2"/>
        </w:rPr>
      </w:pPr>
    </w:p>
    <w:p w:rsidR="0008120C" w:rsidRDefault="00202008">
      <w:pPr>
        <w:pStyle w:val="Bodytext0"/>
        <w:shd w:val="clear" w:color="auto" w:fill="auto"/>
        <w:spacing w:after="254" w:line="230" w:lineRule="exact"/>
        <w:ind w:firstLine="0"/>
      </w:pPr>
      <w:r>
        <w:rPr>
          <w:rStyle w:val="Bodytext1"/>
        </w:rPr>
        <w:t>THE VALUE ADDED TAX (AMENDMENT) ACT, 2008.</w:t>
      </w:r>
    </w:p>
    <w:p w:rsidR="0008120C" w:rsidRDefault="00202008">
      <w:pPr>
        <w:pStyle w:val="Bodytext0"/>
        <w:shd w:val="clear" w:color="auto" w:fill="auto"/>
        <w:spacing w:after="14" w:line="278" w:lineRule="exact"/>
        <w:ind w:left="20" w:right="20" w:firstLine="0"/>
        <w:jc w:val="both"/>
      </w:pPr>
      <w:r>
        <w:rPr>
          <w:rStyle w:val="Bodytext1"/>
        </w:rPr>
        <w:t>An Act to amend the Value Added Tax Act to expand the de</w:t>
      </w:r>
      <w:r>
        <w:rPr>
          <w:rStyle w:val="Bodytext7"/>
        </w:rPr>
        <w:t>fini</w:t>
      </w:r>
      <w:r>
        <w:rPr>
          <w:rStyle w:val="Bodytext1"/>
        </w:rPr>
        <w:t>tion of application for own use to include services; to provide that a person who is required to be registered or to pay tax under the Act is a taxable person from the beginning of the tax period for which the duty to register or pay tax arose; to repeal t</w:t>
      </w:r>
      <w:r>
        <w:rPr>
          <w:rStyle w:val="Bodytext1"/>
        </w:rPr>
        <w:t xml:space="preserve">he requirement for professionals to register under the Act; to provide the value of a taxable supply of goods or services where government provides a subsidy; to add the supply of veterinary services and mosquito nets to the list of exempt supplies and to </w:t>
      </w:r>
      <w:r>
        <w:rPr>
          <w:rStyle w:val="Bodytext1"/>
        </w:rPr>
        <w:t xml:space="preserve">make other </w:t>
      </w:r>
      <w:r>
        <w:rPr>
          <w:rStyle w:val="Bodytext7"/>
        </w:rPr>
        <w:t>mi</w:t>
      </w:r>
      <w:r>
        <w:rPr>
          <w:rStyle w:val="Bodytext1"/>
        </w:rPr>
        <w:t>scellaneous amendments to the Act; and for other related matters.</w:t>
      </w:r>
    </w:p>
    <w:p w:rsidR="0008120C" w:rsidRDefault="00202008">
      <w:pPr>
        <w:pStyle w:val="Bodytext0"/>
        <w:shd w:val="clear" w:color="auto" w:fill="auto"/>
        <w:spacing w:after="0" w:line="562" w:lineRule="exact"/>
        <w:ind w:left="20" w:firstLine="0"/>
        <w:jc w:val="both"/>
      </w:pPr>
      <w:r>
        <w:rPr>
          <w:rStyle w:val="Bodytext9pt"/>
        </w:rPr>
        <w:t xml:space="preserve">Date of Assent: </w:t>
      </w:r>
      <w:r>
        <w:rPr>
          <w:rStyle w:val="Bodytext1"/>
        </w:rPr>
        <w:t>17th June, 2008.</w:t>
      </w:r>
    </w:p>
    <w:p w:rsidR="0008120C" w:rsidRDefault="00202008">
      <w:pPr>
        <w:pStyle w:val="Bodytext50"/>
        <w:shd w:val="clear" w:color="auto" w:fill="auto"/>
        <w:spacing w:before="0" w:line="562" w:lineRule="exact"/>
        <w:ind w:left="20"/>
        <w:jc w:val="both"/>
      </w:pPr>
      <w:r>
        <w:rPr>
          <w:rStyle w:val="Bodytext51"/>
          <w:i/>
          <w:iCs/>
        </w:rPr>
        <w:t>Date of Commencement:</w:t>
      </w:r>
      <w:r>
        <w:rPr>
          <w:rStyle w:val="Bodytext5NotItalic"/>
        </w:rPr>
        <w:t xml:space="preserve"> 1st July, 2007.</w:t>
      </w:r>
    </w:p>
    <w:p w:rsidR="0008120C" w:rsidRDefault="00202008">
      <w:pPr>
        <w:pStyle w:val="Bodytext0"/>
        <w:shd w:val="clear" w:color="auto" w:fill="auto"/>
        <w:spacing w:after="0" w:line="562" w:lineRule="exact"/>
        <w:ind w:left="20" w:firstLine="0"/>
        <w:jc w:val="both"/>
      </w:pPr>
      <w:r>
        <w:rPr>
          <w:rStyle w:val="Bodytext9pt"/>
        </w:rPr>
        <w:t xml:space="preserve">Be it enacted </w:t>
      </w:r>
      <w:r>
        <w:rPr>
          <w:rStyle w:val="Bodytext1"/>
        </w:rPr>
        <w:t>by Parliament as follows:</w:t>
      </w:r>
    </w:p>
    <w:p w:rsidR="0008120C" w:rsidRDefault="00202008">
      <w:pPr>
        <w:pStyle w:val="Bodytext0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562" w:lineRule="exact"/>
        <w:ind w:left="20" w:firstLine="0"/>
        <w:jc w:val="both"/>
      </w:pPr>
      <w:r>
        <w:rPr>
          <w:rStyle w:val="Bodytext1"/>
        </w:rPr>
        <w:lastRenderedPageBreak/>
        <w:t>Commencement.</w:t>
      </w:r>
    </w:p>
    <w:p w:rsidR="0008120C" w:rsidRDefault="00202008">
      <w:pPr>
        <w:pStyle w:val="Bodytext0"/>
        <w:shd w:val="clear" w:color="auto" w:fill="auto"/>
        <w:spacing w:after="254" w:line="230" w:lineRule="exact"/>
        <w:ind w:left="20" w:firstLine="0"/>
        <w:jc w:val="both"/>
      </w:pPr>
      <w:r>
        <w:rPr>
          <w:rStyle w:val="Bodytext1"/>
        </w:rPr>
        <w:t>This Act shall come into force on 1st July 2007.</w:t>
      </w:r>
    </w:p>
    <w:p w:rsidR="0008120C" w:rsidRDefault="00202008">
      <w:pPr>
        <w:pStyle w:val="Bodytext0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278" w:lineRule="exact"/>
        <w:ind w:left="20" w:firstLine="0"/>
        <w:jc w:val="both"/>
      </w:pPr>
      <w:r>
        <w:rPr>
          <w:rStyle w:val="Bodytext1"/>
        </w:rPr>
        <w:t>Amendment of section 1 of Cap 349.</w:t>
      </w:r>
    </w:p>
    <w:p w:rsidR="0008120C" w:rsidRDefault="00202008">
      <w:pPr>
        <w:pStyle w:val="Bodytext0"/>
        <w:shd w:val="clear" w:color="auto" w:fill="auto"/>
        <w:spacing w:after="0" w:line="278" w:lineRule="exact"/>
        <w:ind w:left="20" w:right="20" w:firstLine="0"/>
        <w:jc w:val="both"/>
      </w:pPr>
      <w:r>
        <w:rPr>
          <w:rStyle w:val="Bodytext1"/>
        </w:rPr>
        <w:t>(1) Section 1 of the Value Added Tax Act, in this Act referred to as the principal Act is amended by substituting for paragraph (a) the following—</w:t>
      </w:r>
    </w:p>
    <w:p w:rsidR="0008120C" w:rsidRDefault="00202008">
      <w:pPr>
        <w:pStyle w:val="Bodytext0"/>
        <w:shd w:val="clear" w:color="auto" w:fill="auto"/>
        <w:spacing w:after="219" w:line="278" w:lineRule="exact"/>
        <w:ind w:left="1020" w:right="20" w:hanging="540"/>
        <w:jc w:val="both"/>
      </w:pPr>
      <w:r>
        <w:rPr>
          <w:rStyle w:val="Bodytext1"/>
        </w:rPr>
        <w:t>“(a) “application to own use”, in relation to goods or services, means app</w:t>
      </w:r>
      <w:r>
        <w:rPr>
          <w:rStyle w:val="Bodytext1"/>
        </w:rPr>
        <w:t>lying the goods or services to personal use including personal use by a relative or any other non-business use;”</w:t>
      </w:r>
    </w:p>
    <w:p w:rsidR="0008120C" w:rsidRDefault="002020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230" w:lineRule="exact"/>
        <w:ind w:left="20"/>
      </w:pPr>
      <w:bookmarkStart w:id="0" w:name="bookmark0"/>
      <w:r>
        <w:rPr>
          <w:rStyle w:val="Heading11"/>
        </w:rPr>
        <w:t>Amendment of section 6 of principal Act.</w:t>
      </w:r>
      <w:bookmarkEnd w:id="0"/>
    </w:p>
    <w:p w:rsidR="0008120C" w:rsidRDefault="00202008">
      <w:pPr>
        <w:pStyle w:val="Bodytext0"/>
        <w:shd w:val="clear" w:color="auto" w:fill="auto"/>
        <w:spacing w:after="184" w:line="283" w:lineRule="exact"/>
        <w:ind w:left="20" w:right="20" w:firstLine="0"/>
        <w:jc w:val="both"/>
      </w:pPr>
      <w:r>
        <w:rPr>
          <w:rStyle w:val="Bodytext1"/>
        </w:rPr>
        <w:t>Section 6 of the principal Act is amended by substituting for subsection (2) the following—</w:t>
      </w:r>
    </w:p>
    <w:p w:rsidR="0008120C" w:rsidRDefault="00202008">
      <w:pPr>
        <w:pStyle w:val="Bodytext0"/>
        <w:shd w:val="clear" w:color="auto" w:fill="auto"/>
        <w:spacing w:after="219" w:line="278" w:lineRule="exact"/>
        <w:ind w:left="480" w:right="20" w:firstLine="540"/>
        <w:jc w:val="both"/>
      </w:pPr>
      <w:r>
        <w:rPr>
          <w:rStyle w:val="Bodytext1"/>
        </w:rPr>
        <w:t xml:space="preserve">“(2) A </w:t>
      </w:r>
      <w:r>
        <w:rPr>
          <w:rStyle w:val="Bodytext1"/>
        </w:rPr>
        <w:t>person who is not registered but who is required to be registered or to pay tax under this Act, is a taxable person from the beginning of the tax period immediately following the period in which the duty to apply for registration or to pay tax arose.”</w:t>
      </w:r>
    </w:p>
    <w:p w:rsidR="0008120C" w:rsidRDefault="002020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230" w:lineRule="exact"/>
        <w:ind w:left="20"/>
      </w:pPr>
      <w:bookmarkStart w:id="1" w:name="bookmark1"/>
      <w:r>
        <w:rPr>
          <w:rStyle w:val="Heading11"/>
        </w:rPr>
        <w:t>Amen</w:t>
      </w:r>
      <w:r>
        <w:rPr>
          <w:rStyle w:val="Heading11"/>
        </w:rPr>
        <w:t>dment of section 7 of principal Act.</w:t>
      </w:r>
      <w:bookmarkEnd w:id="1"/>
    </w:p>
    <w:p w:rsidR="0008120C" w:rsidRDefault="00202008">
      <w:pPr>
        <w:pStyle w:val="Bodytext0"/>
        <w:shd w:val="clear" w:color="auto" w:fill="auto"/>
        <w:spacing w:after="113" w:line="230" w:lineRule="exact"/>
        <w:ind w:left="20" w:firstLine="0"/>
        <w:jc w:val="both"/>
      </w:pPr>
      <w:r>
        <w:rPr>
          <w:rStyle w:val="Bodytext1"/>
        </w:rPr>
        <w:t>Section 7 of the principal Act is amended by repealing subsection (6).</w:t>
      </w:r>
    </w:p>
    <w:p w:rsidR="0008120C" w:rsidRDefault="002020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0" w:line="230" w:lineRule="exact"/>
        <w:ind w:left="20"/>
      </w:pPr>
      <w:bookmarkStart w:id="2" w:name="bookmark2"/>
      <w:r>
        <w:rPr>
          <w:rStyle w:val="Heading11"/>
        </w:rPr>
        <w:t>Amendment of section 21 of principal Act.</w:t>
      </w:r>
      <w:bookmarkEnd w:id="2"/>
    </w:p>
    <w:p w:rsidR="0008120C" w:rsidRDefault="00202008">
      <w:pPr>
        <w:pStyle w:val="Bodytext0"/>
        <w:shd w:val="clear" w:color="auto" w:fill="auto"/>
        <w:spacing w:after="180" w:line="278" w:lineRule="exact"/>
        <w:ind w:left="20" w:right="20" w:firstLine="0"/>
        <w:jc w:val="both"/>
      </w:pPr>
      <w:r>
        <w:rPr>
          <w:rStyle w:val="Bodytext1"/>
        </w:rPr>
        <w:t>Section 21 of the principal Act is amended by inserting immediately after subsection (4) the following—</w:t>
      </w:r>
    </w:p>
    <w:p w:rsidR="0008120C" w:rsidRDefault="00202008">
      <w:pPr>
        <w:pStyle w:val="Bodytext0"/>
        <w:shd w:val="clear" w:color="auto" w:fill="auto"/>
        <w:spacing w:after="180" w:line="278" w:lineRule="exact"/>
        <w:ind w:left="480" w:right="20" w:firstLine="540"/>
        <w:jc w:val="both"/>
      </w:pPr>
      <w:r>
        <w:rPr>
          <w:rStyle w:val="Bodytext1"/>
        </w:rPr>
        <w:t>“(5) The taxable value of a taxable supply of goods or services where the Government has provided a subsidy is the consideration paid in money or in kind by all persons for that supply less the subsidy”.</w:t>
      </w:r>
    </w:p>
    <w:p w:rsidR="0008120C" w:rsidRDefault="002020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0" w:line="278" w:lineRule="exact"/>
        <w:ind w:left="20"/>
      </w:pPr>
      <w:bookmarkStart w:id="3" w:name="bookmark3"/>
      <w:r>
        <w:rPr>
          <w:rStyle w:val="Heading11"/>
        </w:rPr>
        <w:t>Amendment of Second Schedule to the principal Act.</w:t>
      </w:r>
      <w:bookmarkEnd w:id="3"/>
    </w:p>
    <w:p w:rsidR="0008120C" w:rsidRDefault="00202008">
      <w:pPr>
        <w:pStyle w:val="Bodytext0"/>
        <w:numPr>
          <w:ilvl w:val="0"/>
          <w:numId w:val="2"/>
        </w:numPr>
        <w:shd w:val="clear" w:color="auto" w:fill="auto"/>
        <w:tabs>
          <w:tab w:val="left" w:pos="855"/>
        </w:tabs>
        <w:spacing w:after="99" w:line="278" w:lineRule="exact"/>
        <w:ind w:left="20" w:right="20" w:firstLine="480"/>
        <w:jc w:val="left"/>
      </w:pPr>
      <w:r>
        <w:rPr>
          <w:rStyle w:val="Bodytext1"/>
        </w:rPr>
        <w:t>P</w:t>
      </w:r>
      <w:r>
        <w:rPr>
          <w:rStyle w:val="Bodytext1"/>
        </w:rPr>
        <w:t>aragraph 1 of the Second Schedule to the principal Act is amended—</w:t>
      </w:r>
    </w:p>
    <w:p w:rsidR="0008120C" w:rsidRDefault="00202008">
      <w:pPr>
        <w:pStyle w:val="Bodytext0"/>
        <w:numPr>
          <w:ilvl w:val="0"/>
          <w:numId w:val="3"/>
        </w:numPr>
        <w:shd w:val="clear" w:color="auto" w:fill="auto"/>
        <w:tabs>
          <w:tab w:val="left" w:pos="792"/>
        </w:tabs>
        <w:spacing w:after="76" w:line="230" w:lineRule="exact"/>
        <w:ind w:left="1020" w:hanging="540"/>
        <w:jc w:val="both"/>
      </w:pPr>
      <w:r>
        <w:rPr>
          <w:rStyle w:val="Bodytext1"/>
        </w:rPr>
        <w:t>by substituting for items (h), (u), (z) and (aa) the following—</w:t>
      </w:r>
    </w:p>
    <w:p w:rsidR="0008120C" w:rsidRDefault="00202008">
      <w:pPr>
        <w:pStyle w:val="Bodytext0"/>
        <w:shd w:val="clear" w:color="auto" w:fill="auto"/>
        <w:spacing w:after="180" w:line="283" w:lineRule="exact"/>
        <w:ind w:left="1680" w:right="20"/>
        <w:jc w:val="left"/>
      </w:pPr>
      <w:r>
        <w:rPr>
          <w:rStyle w:val="Bodytext1"/>
        </w:rPr>
        <w:t>“(h) the supply of veterinary, medical, dental, and nursing services;</w:t>
      </w:r>
    </w:p>
    <w:p w:rsidR="0008120C" w:rsidRDefault="00202008">
      <w:pPr>
        <w:pStyle w:val="Bodytext0"/>
        <w:shd w:val="clear" w:color="auto" w:fill="auto"/>
        <w:spacing w:after="60" w:line="283" w:lineRule="exact"/>
        <w:ind w:left="1680" w:right="20"/>
        <w:jc w:val="left"/>
      </w:pPr>
      <w:r>
        <w:rPr>
          <w:rStyle w:val="Bodytext1"/>
        </w:rPr>
        <w:lastRenderedPageBreak/>
        <w:t>(u) the supply of accommodation in tourist lodges and h</w:t>
      </w:r>
      <w:r>
        <w:rPr>
          <w:rStyle w:val="Bodytext1"/>
        </w:rPr>
        <w:t>otels outside Kampala District;</w:t>
      </w:r>
    </w:p>
    <w:p w:rsidR="0008120C" w:rsidRDefault="00202008">
      <w:pPr>
        <w:pStyle w:val="Bodytext0"/>
        <w:shd w:val="clear" w:color="auto" w:fill="auto"/>
        <w:spacing w:after="0" w:line="283" w:lineRule="exact"/>
        <w:ind w:left="1680" w:right="20"/>
        <w:jc w:val="left"/>
      </w:pPr>
      <w:r>
        <w:rPr>
          <w:rStyle w:val="Bodytext1"/>
        </w:rPr>
        <w:t>(z) the supply of mosquito nets, insecticides and acaricides;</w:t>
      </w:r>
    </w:p>
    <w:p w:rsidR="0008120C" w:rsidRDefault="00202008">
      <w:pPr>
        <w:pStyle w:val="Bodytext0"/>
        <w:shd w:val="clear" w:color="auto" w:fill="auto"/>
        <w:spacing w:after="159" w:line="278" w:lineRule="exact"/>
        <w:ind w:left="1680" w:hanging="600"/>
        <w:jc w:val="both"/>
      </w:pPr>
      <w:r>
        <w:rPr>
          <w:rStyle w:val="Bodytext1"/>
        </w:rPr>
        <w:t xml:space="preserve">(aa) the supply of specialized vehicles, plant and machinery, feasibility studies, engineering designs and consultancy services and civil works related to </w:t>
      </w:r>
      <w:r>
        <w:rPr>
          <w:rStyle w:val="Bodytext1"/>
        </w:rPr>
        <w:t>hydro-electric power, roads and bridges’ construction and water works.</w:t>
      </w:r>
    </w:p>
    <w:p w:rsidR="0008120C" w:rsidRDefault="00202008">
      <w:pPr>
        <w:pStyle w:val="Bodytext0"/>
        <w:numPr>
          <w:ilvl w:val="0"/>
          <w:numId w:val="3"/>
        </w:numPr>
        <w:shd w:val="clear" w:color="auto" w:fill="auto"/>
        <w:tabs>
          <w:tab w:val="left" w:pos="413"/>
        </w:tabs>
        <w:spacing w:after="58" w:line="230" w:lineRule="exact"/>
        <w:ind w:firstLine="0"/>
        <w:jc w:val="right"/>
      </w:pPr>
      <w:r>
        <w:rPr>
          <w:rStyle w:val="Bodytext1"/>
        </w:rPr>
        <w:t>by inserting immediately after item (cc) the following</w:t>
      </w:r>
    </w:p>
    <w:p w:rsidR="0008120C" w:rsidRDefault="00202008">
      <w:pPr>
        <w:pStyle w:val="Bodytext0"/>
        <w:shd w:val="clear" w:color="auto" w:fill="auto"/>
        <w:spacing w:after="144" w:line="230" w:lineRule="exact"/>
        <w:ind w:left="1680" w:hanging="600"/>
        <w:jc w:val="both"/>
      </w:pPr>
      <w:r>
        <w:rPr>
          <w:rStyle w:val="Bodytext1"/>
        </w:rPr>
        <w:t>items—</w:t>
      </w:r>
    </w:p>
    <w:p w:rsidR="0008120C" w:rsidRDefault="00202008">
      <w:pPr>
        <w:pStyle w:val="Bodytext0"/>
        <w:shd w:val="clear" w:color="auto" w:fill="auto"/>
        <w:spacing w:after="159" w:line="278" w:lineRule="exact"/>
        <w:ind w:left="1680" w:hanging="600"/>
        <w:jc w:val="both"/>
      </w:pPr>
      <w:r>
        <w:rPr>
          <w:rStyle w:val="Bodytext1"/>
        </w:rPr>
        <w:t>“(dd) the supply of any goods and services to the contractor of the Bujagaali hydro-electric power project; and</w:t>
      </w:r>
    </w:p>
    <w:p w:rsidR="0008120C" w:rsidRDefault="00202008">
      <w:pPr>
        <w:pStyle w:val="Bodytext0"/>
        <w:shd w:val="clear" w:color="auto" w:fill="auto"/>
        <w:spacing w:after="148" w:line="230" w:lineRule="exact"/>
        <w:ind w:left="1680" w:hanging="600"/>
        <w:jc w:val="both"/>
      </w:pPr>
      <w:r>
        <w:rPr>
          <w:rStyle w:val="Bodytext1"/>
        </w:rPr>
        <w:t>(ee) the su</w:t>
      </w:r>
      <w:r>
        <w:rPr>
          <w:rStyle w:val="Bodytext1"/>
        </w:rPr>
        <w:t>pply of diapers”.</w:t>
      </w:r>
    </w:p>
    <w:p w:rsidR="0008120C" w:rsidRDefault="00202008">
      <w:pPr>
        <w:pStyle w:val="Bodytext0"/>
        <w:numPr>
          <w:ilvl w:val="0"/>
          <w:numId w:val="2"/>
        </w:numPr>
        <w:shd w:val="clear" w:color="auto" w:fill="auto"/>
        <w:tabs>
          <w:tab w:val="left" w:pos="859"/>
        </w:tabs>
        <w:spacing w:after="116" w:line="274" w:lineRule="exact"/>
        <w:ind w:firstLine="480"/>
        <w:jc w:val="left"/>
      </w:pPr>
      <w:r>
        <w:rPr>
          <w:rStyle w:val="Bodytext1"/>
        </w:rPr>
        <w:t>The Second Schedule to the principal Act is amended by substituting for paragraph 3 the following—</w:t>
      </w:r>
    </w:p>
    <w:p w:rsidR="0008120C" w:rsidRDefault="00202008">
      <w:pPr>
        <w:pStyle w:val="Bodytext0"/>
        <w:shd w:val="clear" w:color="auto" w:fill="auto"/>
        <w:spacing w:after="0" w:line="278" w:lineRule="exact"/>
        <w:ind w:left="480" w:firstLine="360"/>
        <w:jc w:val="both"/>
      </w:pPr>
      <w:r>
        <w:rPr>
          <w:rStyle w:val="Bodytext1"/>
        </w:rPr>
        <w:t xml:space="preserve">“3. For the purposes of paragraph 1(a) of this Schedule, the term “unprocessed” includes low value added activity such as sorting, drying, </w:t>
      </w:r>
      <w:r>
        <w:rPr>
          <w:rStyle w:val="Bodytext1"/>
        </w:rPr>
        <w:t>salting, filleting, deboning, freezing, chilling, or bulk packaging, where, except in the case of packaging, the value added does not exceed 5% of the total value of the supply”.</w:t>
      </w:r>
    </w:p>
    <w:sectPr w:rsidR="0008120C" w:rsidSect="0008120C">
      <w:headerReference w:type="default" r:id="rId7"/>
      <w:footerReference w:type="default" r:id="rId8"/>
      <w:footerReference w:type="first" r:id="rId9"/>
      <w:type w:val="continuous"/>
      <w:pgSz w:w="12240" w:h="15840"/>
      <w:pgMar w:top="2709" w:right="2669" w:bottom="2727" w:left="27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08" w:rsidRDefault="00202008" w:rsidP="0008120C">
      <w:r>
        <w:separator/>
      </w:r>
    </w:p>
  </w:endnote>
  <w:endnote w:type="continuationSeparator" w:id="1">
    <w:p w:rsidR="00202008" w:rsidRDefault="00202008" w:rsidP="0008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0C" w:rsidRDefault="0008120C">
    <w:pPr>
      <w:rPr>
        <w:sz w:val="2"/>
        <w:szCs w:val="2"/>
      </w:rPr>
    </w:pPr>
    <w:r w:rsidRPr="000812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45pt;margin-top:659.3pt;width:5.0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20C" w:rsidRDefault="0008120C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E0CB9" w:rsidRPr="00AE0CB9">
                    <w:rPr>
                      <w:rStyle w:val="HeaderorfooterBold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0C" w:rsidRDefault="0008120C">
    <w:pPr>
      <w:rPr>
        <w:sz w:val="2"/>
        <w:szCs w:val="2"/>
      </w:rPr>
    </w:pPr>
    <w:r w:rsidRPr="000812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45pt;margin-top:663.5pt;width:2.9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20C" w:rsidRDefault="0008120C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E0CB9" w:rsidRPr="00AE0CB9">
                    <w:rPr>
                      <w:rStyle w:val="HeaderorfooterBold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08" w:rsidRDefault="00202008"/>
  </w:footnote>
  <w:footnote w:type="continuationSeparator" w:id="1">
    <w:p w:rsidR="00202008" w:rsidRDefault="002020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0C" w:rsidRDefault="0008120C">
    <w:pPr>
      <w:rPr>
        <w:sz w:val="2"/>
        <w:szCs w:val="2"/>
      </w:rPr>
    </w:pPr>
    <w:r w:rsidRPr="000812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0.75pt;margin-top:120.35pt;width:331.9pt;height:1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20C" w:rsidRDefault="00202008">
                <w:pPr>
                  <w:pStyle w:val="Headerorfooter0"/>
                  <w:shd w:val="clear" w:color="auto" w:fill="auto"/>
                  <w:tabs>
                    <w:tab w:val="right" w:pos="5112"/>
                    <w:tab w:val="right" w:pos="6638"/>
                  </w:tabs>
                  <w:spacing w:line="240" w:lineRule="auto"/>
                </w:pPr>
                <w:r>
                  <w:rPr>
                    <w:rStyle w:val="HeaderorfooterBold"/>
                  </w:rPr>
                  <w:t>Act 6</w:t>
                </w:r>
                <w:r>
                  <w:rPr>
                    <w:rStyle w:val="HeaderorfooterBold"/>
                  </w:rPr>
                  <w:tab/>
                </w:r>
                <w:r>
                  <w:rPr>
                    <w:rStyle w:val="Headerorfooter1"/>
                    <w:i/>
                    <w:iCs/>
                  </w:rPr>
                  <w:t>V</w:t>
                </w:r>
                <w:r>
                  <w:rPr>
                    <w:rStyle w:val="Headerorfooter1"/>
                    <w:i/>
                    <w:iCs/>
                  </w:rPr>
                  <w:t>alue Added Tax (Amendment) Act</w:t>
                </w:r>
                <w:r>
                  <w:rPr>
                    <w:rStyle w:val="Headerorfooter1"/>
                    <w:i/>
                    <w:iCs/>
                  </w:rPr>
                  <w:tab/>
                </w:r>
                <w:r>
                  <w:rPr>
                    <w:rStyle w:val="HeaderorfooterBold"/>
                  </w:rPr>
                  <w:t>2008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162"/>
    <w:multiLevelType w:val="multilevel"/>
    <w:tmpl w:val="9982AEC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05D8F"/>
    <w:multiLevelType w:val="multilevel"/>
    <w:tmpl w:val="22DE0CC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6F0006"/>
    <w:multiLevelType w:val="multilevel"/>
    <w:tmpl w:val="384E5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120C"/>
    <w:rsid w:val="0008120C"/>
    <w:rsid w:val="00202008"/>
    <w:rsid w:val="00AE0CB9"/>
    <w:rsid w:val="00B7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2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120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081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08120C"/>
    <w:rPr>
      <w:color w:val="000000"/>
      <w:spacing w:val="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0812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HeaderorfooterBold">
    <w:name w:val="Header or footer + Bold"/>
    <w:aliases w:val="Not Italic"/>
    <w:basedOn w:val="Headerorfooter"/>
    <w:rsid w:val="0008120C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0812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sid w:val="0008120C"/>
    <w:rPr>
      <w:color w:val="000000"/>
      <w:spacing w:val="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081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sid w:val="0008120C"/>
    <w:rPr>
      <w:color w:val="000000"/>
      <w:spacing w:val="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0812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NotItalic">
    <w:name w:val="Body text (5) + Not Italic"/>
    <w:basedOn w:val="Bodytext5"/>
    <w:rsid w:val="0008120C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51">
    <w:name w:val="Body text (5)"/>
    <w:basedOn w:val="Bodytext5"/>
    <w:rsid w:val="0008120C"/>
    <w:rPr>
      <w:color w:val="000000"/>
      <w:spacing w:val="0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081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08120C"/>
    <w:rPr>
      <w:color w:val="000000"/>
      <w:spacing w:val="0"/>
      <w:w w:val="100"/>
      <w:position w:val="0"/>
      <w:lang w:val="en-US"/>
    </w:rPr>
  </w:style>
  <w:style w:type="character" w:customStyle="1" w:styleId="Tablecaption">
    <w:name w:val="Table caption_"/>
    <w:basedOn w:val="DefaultParagraphFont"/>
    <w:link w:val="Tablecaption0"/>
    <w:rsid w:val="00081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sid w:val="0008120C"/>
    <w:rPr>
      <w:color w:val="000000"/>
      <w:spacing w:val="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081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5pt">
    <w:name w:val="Body text + 10.5 pt"/>
    <w:aliases w:val="Italic"/>
    <w:basedOn w:val="Bodytext"/>
    <w:rsid w:val="0008120C"/>
    <w:rPr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105pt0">
    <w:name w:val="Body text + 10.5 pt"/>
    <w:basedOn w:val="Bodytext"/>
    <w:rsid w:val="0008120C"/>
    <w:rPr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1">
    <w:name w:val="Body text"/>
    <w:basedOn w:val="Bodytext"/>
    <w:rsid w:val="0008120C"/>
    <w:rPr>
      <w:color w:val="000000"/>
      <w:spacing w:val="0"/>
      <w:w w:val="100"/>
      <w:position w:val="0"/>
      <w:lang w:val="en-US"/>
    </w:rPr>
  </w:style>
  <w:style w:type="character" w:customStyle="1" w:styleId="Headerorfooter1">
    <w:name w:val="Header or footer"/>
    <w:basedOn w:val="Headerorfooter"/>
    <w:rsid w:val="0008120C"/>
    <w:rPr>
      <w:color w:val="000000"/>
      <w:spacing w:val="0"/>
      <w:w w:val="100"/>
      <w:position w:val="0"/>
      <w:lang w:val="en-US"/>
    </w:rPr>
  </w:style>
  <w:style w:type="character" w:customStyle="1" w:styleId="Bodytext7">
    <w:name w:val="Body text"/>
    <w:basedOn w:val="Bodytext"/>
    <w:rsid w:val="0008120C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9pt">
    <w:name w:val="Body text + 9 pt"/>
    <w:basedOn w:val="Bodytext"/>
    <w:rsid w:val="0008120C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Heading1">
    <w:name w:val="Heading #1_"/>
    <w:basedOn w:val="DefaultParagraphFont"/>
    <w:link w:val="Heading10"/>
    <w:rsid w:val="00081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"/>
    <w:rsid w:val="0008120C"/>
    <w:rPr>
      <w:color w:val="000000"/>
      <w:spacing w:val="0"/>
      <w:w w:val="100"/>
      <w:position w:val="0"/>
      <w:lang w:val="en-US"/>
    </w:rPr>
  </w:style>
  <w:style w:type="paragraph" w:customStyle="1" w:styleId="Bodytext20">
    <w:name w:val="Body text (2)"/>
    <w:basedOn w:val="Normal"/>
    <w:link w:val="Bodytext2"/>
    <w:rsid w:val="0008120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081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rsid w:val="0008120C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40">
    <w:name w:val="Body text (4)"/>
    <w:basedOn w:val="Normal"/>
    <w:link w:val="Bodytext4"/>
    <w:rsid w:val="0008120C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rsid w:val="0008120C"/>
    <w:pPr>
      <w:shd w:val="clear" w:color="auto" w:fill="FFFFFF"/>
      <w:spacing w:before="480" w:line="461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Normal"/>
    <w:link w:val="Bodytext6"/>
    <w:rsid w:val="0008120C"/>
    <w:pPr>
      <w:shd w:val="clear" w:color="auto" w:fill="FFFFFF"/>
      <w:spacing w:after="540" w:line="46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081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0">
    <w:name w:val="Body text"/>
    <w:basedOn w:val="Normal"/>
    <w:link w:val="Bodytext"/>
    <w:rsid w:val="0008120C"/>
    <w:pPr>
      <w:shd w:val="clear" w:color="auto" w:fill="FFFFFF"/>
      <w:spacing w:after="360" w:line="0" w:lineRule="atLeast"/>
      <w:ind w:hanging="6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rsid w:val="0008120C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No. 6 2008</dc:title>
  <dc:creator>jmugala</dc:creator>
  <cp:lastModifiedBy>jmugala</cp:lastModifiedBy>
  <cp:revision>2</cp:revision>
  <dcterms:created xsi:type="dcterms:W3CDTF">2014-06-05T11:51:00Z</dcterms:created>
  <dcterms:modified xsi:type="dcterms:W3CDTF">2014-06-05T11:51:00Z</dcterms:modified>
</cp:coreProperties>
</file>