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B6" w:rsidRDefault="00F84612">
      <w:pPr>
        <w:pStyle w:val="Bodytext0"/>
        <w:shd w:val="clear" w:color="auto" w:fill="auto"/>
        <w:spacing w:after="638"/>
        <w:ind w:right="540" w:firstLine="0"/>
      </w:pPr>
      <w:r>
        <w:t xml:space="preserve">THE REPUBLIC OF UGANDA </w:t>
      </w:r>
    </w:p>
    <w:p w:rsidR="000863B6" w:rsidRDefault="00F84612">
      <w:pPr>
        <w:pStyle w:val="Bodytext0"/>
        <w:shd w:val="clear" w:color="auto" w:fill="auto"/>
        <w:spacing w:after="638"/>
        <w:ind w:right="540" w:firstLine="0"/>
      </w:pPr>
      <w:r>
        <w:t xml:space="preserve">IN THE SUPREME COURT OF UGANDA AT KAMPALA </w:t>
      </w:r>
    </w:p>
    <w:p w:rsidR="000809A6" w:rsidRDefault="00F84612">
      <w:pPr>
        <w:pStyle w:val="Bodytext0"/>
        <w:shd w:val="clear" w:color="auto" w:fill="auto"/>
        <w:spacing w:after="638"/>
        <w:ind w:right="540" w:firstLine="0"/>
      </w:pPr>
      <w:r>
        <w:t>CRIMINAL APPEAL NO. 0029 OF 2015</w:t>
      </w:r>
    </w:p>
    <w:p w:rsidR="000809A6" w:rsidRDefault="00F84612">
      <w:pPr>
        <w:pStyle w:val="Bodytext0"/>
        <w:shd w:val="clear" w:color="auto" w:fill="auto"/>
        <w:spacing w:after="0" w:line="326" w:lineRule="exact"/>
        <w:ind w:left="20" w:right="760" w:firstLine="580"/>
        <w:jc w:val="left"/>
      </w:pPr>
      <w:r>
        <w:t>(Coram: Tumwesigye; Mwangusya; Opi</w:t>
      </w:r>
      <w:r w:rsidR="000863B6">
        <w:t>o-Aweri; Mwondha; Tibatemwa-</w:t>
      </w:r>
      <w:r>
        <w:t>Ekiriikubinza; JJ.S.C)</w:t>
      </w:r>
    </w:p>
    <w:p w:rsidR="000809A6" w:rsidRDefault="00F84612">
      <w:pPr>
        <w:pStyle w:val="Bodytext0"/>
        <w:shd w:val="clear" w:color="auto" w:fill="auto"/>
        <w:spacing w:after="0"/>
        <w:ind w:right="540" w:firstLine="0"/>
      </w:pPr>
      <w:r>
        <w:t>Between</w:t>
      </w:r>
    </w:p>
    <w:p w:rsidR="000809A6" w:rsidRDefault="00F84612">
      <w:pPr>
        <w:pStyle w:val="Bodytext0"/>
        <w:shd w:val="clear" w:color="auto" w:fill="auto"/>
        <w:tabs>
          <w:tab w:val="left" w:leader="dot" w:pos="7968"/>
        </w:tabs>
        <w:spacing w:after="0"/>
        <w:ind w:left="600" w:firstLine="0"/>
        <w:jc w:val="both"/>
      </w:pPr>
      <w:r>
        <w:t xml:space="preserve">BAITWABUSA FRANCIS </w:t>
      </w:r>
      <w:r>
        <w:tab/>
        <w:t>APPELLANT</w:t>
      </w:r>
    </w:p>
    <w:p w:rsidR="000809A6" w:rsidRDefault="00F84612">
      <w:pPr>
        <w:pStyle w:val="Bodytext0"/>
        <w:shd w:val="clear" w:color="auto" w:fill="auto"/>
        <w:spacing w:after="0"/>
        <w:ind w:right="540" w:firstLine="0"/>
      </w:pPr>
      <w:r>
        <w:t>And</w:t>
      </w:r>
    </w:p>
    <w:p w:rsidR="000809A6" w:rsidRDefault="00F84612">
      <w:pPr>
        <w:pStyle w:val="Bodytext0"/>
        <w:shd w:val="clear" w:color="auto" w:fill="auto"/>
        <w:tabs>
          <w:tab w:val="left" w:leader="dot" w:pos="7738"/>
        </w:tabs>
        <w:spacing w:after="0"/>
        <w:ind w:left="600" w:firstLine="0"/>
        <w:jc w:val="both"/>
      </w:pPr>
      <w:r>
        <w:t>UGANDA</w:t>
      </w:r>
      <w:r>
        <w:tab/>
        <w:t>RESPONDENT</w:t>
      </w:r>
    </w:p>
    <w:p w:rsidR="000809A6" w:rsidRDefault="000863B6">
      <w:pPr>
        <w:pStyle w:val="Bodytext20"/>
        <w:shd w:val="clear" w:color="auto" w:fill="auto"/>
        <w:spacing w:before="0" w:after="745"/>
        <w:ind w:left="600" w:right="40"/>
      </w:pPr>
      <w:r>
        <w:rPr>
          <w:rStyle w:val="Bodytext2145pt"/>
        </w:rPr>
        <w:t xml:space="preserve"> </w:t>
      </w:r>
      <w:r w:rsidR="00F84612">
        <w:rPr>
          <w:rStyle w:val="Bodytext2145pt"/>
        </w:rPr>
        <w:t xml:space="preserve">( </w:t>
      </w:r>
      <w:r w:rsidR="00F84612">
        <w:t>Appeal from the decision of the Court of Appeal of Uganda at Kampala before the Justices Nshimye, Solome Balungi Bossa, Kenneth Kakuru JJA, on the 17</w:t>
      </w:r>
      <w:r w:rsidR="00F84612">
        <w:rPr>
          <w:vertAlign w:val="superscript"/>
        </w:rPr>
        <w:t>th</w:t>
      </w:r>
      <w:r w:rsidR="00F84612">
        <w:t xml:space="preserve"> day of February 2015 in Criminal Appeal No.26 of 2011)</w:t>
      </w:r>
    </w:p>
    <w:p w:rsidR="000809A6" w:rsidRDefault="00F84612">
      <w:pPr>
        <w:pStyle w:val="Bodytext0"/>
        <w:shd w:val="clear" w:color="auto" w:fill="auto"/>
        <w:tabs>
          <w:tab w:val="left" w:pos="3663"/>
        </w:tabs>
        <w:spacing w:after="96" w:line="220" w:lineRule="exact"/>
        <w:ind w:left="600" w:hanging="580"/>
        <w:jc w:val="both"/>
      </w:pPr>
      <w:r>
        <w:tab/>
      </w:r>
      <w:r>
        <w:rPr>
          <w:rStyle w:val="Bodytext1"/>
        </w:rPr>
        <w:t>JUDGMENT OF COURT</w:t>
      </w:r>
    </w:p>
    <w:p w:rsidR="000863B6" w:rsidRDefault="00F84612" w:rsidP="000863B6">
      <w:pPr>
        <w:pStyle w:val="Bodytext0"/>
        <w:shd w:val="clear" w:color="auto" w:fill="auto"/>
        <w:spacing w:after="120" w:line="422" w:lineRule="exact"/>
        <w:ind w:right="40" w:firstLine="0"/>
        <w:jc w:val="both"/>
      </w:pPr>
      <w:r>
        <w:t xml:space="preserve">This is a second appeal </w:t>
      </w:r>
      <w:r>
        <w:t>which arises from the judgment of the Court of Appeal which upheld the conviction of Baitwabusa Francis (the appellant) by the High Court on five counts of murder and a sentence of life imprisonment on each count. The sentences were to run concurrently.</w:t>
      </w:r>
    </w:p>
    <w:p w:rsidR="000863B6" w:rsidRDefault="00F84612" w:rsidP="000863B6">
      <w:pPr>
        <w:pStyle w:val="Bodytext0"/>
        <w:shd w:val="clear" w:color="auto" w:fill="auto"/>
        <w:spacing w:after="120" w:line="422" w:lineRule="exact"/>
        <w:ind w:right="40" w:firstLine="0"/>
        <w:jc w:val="both"/>
      </w:pPr>
      <w:r>
        <w:t>The facts of the case as found by the trial Judge (Chigamoy Owinyi-Dollo, J as he then was) and upheld by the Court of Appeal are that the deceased persons, namely, Kaireta Geoffrey, aged 25 years, Kabajwiga Brenda, aged 20 years, Kisembo Derrick aged 4 y</w:t>
      </w:r>
      <w:r>
        <w:t xml:space="preserve">ears, Disaya Kabajungu, aged 3 years and Amanyire Edward, aged 2 years lived at Kihande I Village, Masindi with </w:t>
      </w:r>
      <w:r>
        <w:t>Mathew Karubanga (PW2), his wife, Tugume Maureen and his mother, Rose Kabatoro (PW3).</w:t>
      </w:r>
    </w:p>
    <w:p w:rsidR="000809A6" w:rsidRDefault="00F84612" w:rsidP="000863B6">
      <w:pPr>
        <w:pStyle w:val="Bodytext0"/>
        <w:shd w:val="clear" w:color="auto" w:fill="auto"/>
        <w:spacing w:after="120" w:line="422" w:lineRule="exact"/>
        <w:ind w:right="40" w:firstLine="0"/>
        <w:jc w:val="both"/>
        <w:sectPr w:rsidR="000809A6">
          <w:headerReference w:type="first" r:id="rId7"/>
          <w:footerReference w:type="first" r:id="rId8"/>
          <w:type w:val="continuous"/>
          <w:pgSz w:w="12240" w:h="15840"/>
          <w:pgMar w:top="1000" w:right="1303" w:bottom="1398" w:left="1303" w:header="0" w:footer="3" w:gutter="0"/>
          <w:cols w:space="720"/>
          <w:noEndnote/>
          <w:titlePg/>
          <w:docGrid w:linePitch="360"/>
        </w:sectPr>
      </w:pPr>
      <w:r>
        <w:t>On the 8</w:t>
      </w:r>
      <w:r>
        <w:rPr>
          <w:vertAlign w:val="superscript"/>
        </w:rPr>
        <w:t>th</w:t>
      </w:r>
      <w:r>
        <w:t xml:space="preserve"> day of July, 2008 they had all retired to bed when PW2 who was sleeping with </w:t>
      </w:r>
      <w:r>
        <w:lastRenderedPageBreak/>
        <w:t xml:space="preserve">his wife in a separate room </w:t>
      </w:r>
      <w:r>
        <w:t>from that of the deceased, heard</w:t>
      </w:r>
    </w:p>
    <w:p w:rsidR="000809A6" w:rsidRDefault="00F84612" w:rsidP="000863B6">
      <w:pPr>
        <w:pStyle w:val="Bodytext0"/>
        <w:shd w:val="clear" w:color="auto" w:fill="auto"/>
        <w:spacing w:after="180" w:line="422" w:lineRule="exact"/>
        <w:ind w:right="40" w:firstLine="0"/>
        <w:jc w:val="both"/>
      </w:pPr>
      <w:r>
        <w:lastRenderedPageBreak/>
        <w:t>a blast</w:t>
      </w:r>
      <w:r>
        <w:t xml:space="preserve"> from the Television set. He noticed that the house had caught fire </w:t>
      </w:r>
      <w:r>
        <w:t>and all attempts to open the door were futile because it had been locked from outside. His mother who was sleeping in a separate house raised an alarm which attracted neighbours who rem</w:t>
      </w:r>
      <w:r>
        <w:t xml:space="preserve">oved iron bars from a window through which PW2 and his wife escaped. The deceased were not so lucky. They were all burnt beyond recognition as the post mortem reports on all </w:t>
      </w:r>
      <w:r>
        <w:t>the five dead bodies indicated. They all died of multiple organ damage due to e</w:t>
      </w:r>
      <w:r>
        <w:t>xtensive burns.</w:t>
      </w:r>
    </w:p>
    <w:p w:rsidR="000809A6" w:rsidRDefault="00F84612" w:rsidP="000863B6">
      <w:pPr>
        <w:pStyle w:val="Bodytext0"/>
        <w:shd w:val="clear" w:color="auto" w:fill="auto"/>
        <w:spacing w:after="180" w:line="422" w:lineRule="exact"/>
        <w:ind w:right="40" w:firstLine="0"/>
        <w:jc w:val="left"/>
      </w:pPr>
      <w:r>
        <w:t xml:space="preserve">The District Police Commander Masindi District, Alex Twebaze( PW5) on receiving the report about this incident visited the scene that very night. On reaching the scene he confirmed that five people had perished in the fire and </w:t>
      </w:r>
      <w:r>
        <w:t>the name o</w:t>
      </w:r>
      <w:r>
        <w:t xml:space="preserve">f the appellant was being mentioned in connection with the burning of </w:t>
      </w:r>
      <w:r w:rsidR="000863B6">
        <w:t xml:space="preserve">the house in which the deceased </w:t>
      </w:r>
      <w:r>
        <w:t>persons perished.</w:t>
      </w:r>
    </w:p>
    <w:p w:rsidR="000809A6" w:rsidRDefault="00F84612" w:rsidP="000863B6">
      <w:pPr>
        <w:pStyle w:val="Bodytext0"/>
        <w:shd w:val="clear" w:color="auto" w:fill="auto"/>
        <w:spacing w:after="180" w:line="422" w:lineRule="exact"/>
        <w:ind w:right="40" w:firstLine="0"/>
        <w:jc w:val="both"/>
      </w:pPr>
      <w:r>
        <w:t>He, together with the Local Council Chairman, Masindi and PW2 headed for the home of the appellant at Katama village where the wife of t</w:t>
      </w:r>
      <w:r>
        <w:t xml:space="preserve">he appellant opened for them. The appellant was called out of his house and informed of </w:t>
      </w:r>
      <w:r>
        <w:t>the allegation that he had burnt PW2’s house in which the deceased were burnt. He was then arrested. He did not resist the arrest. His only response to the arrest wa</w:t>
      </w:r>
      <w:r>
        <w:t xml:space="preserve">s that it was okay. He was taken to Masindi Police Station from where he was later taken to the Chief Magistrate Court where he was charged with murder. He was later indicted in the High Court sitting </w:t>
      </w:r>
      <w:r>
        <w:t>at Masindi where the prosecution adduced evidence to</w:t>
      </w:r>
      <w:r>
        <w:t xml:space="preserve"> link him with the offences.</w:t>
      </w:r>
    </w:p>
    <w:p w:rsidR="000809A6" w:rsidRDefault="00F84612" w:rsidP="000863B6">
      <w:pPr>
        <w:pStyle w:val="Bodytext0"/>
        <w:shd w:val="clear" w:color="auto" w:fill="auto"/>
        <w:spacing w:after="0" w:line="422" w:lineRule="exact"/>
        <w:ind w:right="40" w:firstLine="0"/>
        <w:jc w:val="both"/>
      </w:pPr>
      <w:r>
        <w:t>The appellant denied the alleged offences. He testified that on 8</w:t>
      </w:r>
      <w:r>
        <w:rPr>
          <w:vertAlign w:val="superscript"/>
        </w:rPr>
        <w:t>th</w:t>
      </w:r>
      <w:r>
        <w:t xml:space="preserve"> July 2008 he had gone to bed at 10:00 p.m. and was sleeping when he was awakened by his wife who told him that someone wanted him. The District Police </w:t>
      </w:r>
      <w:r>
        <w:t>Comma</w:t>
      </w:r>
      <w:r>
        <w:t>nder called him out and placed him under arrest. He was taken to Masindi Police Station where he denied having burnt the house in which the deceased persons died.</w:t>
      </w:r>
    </w:p>
    <w:p w:rsidR="000809A6" w:rsidRDefault="00F84612" w:rsidP="000863B6">
      <w:pPr>
        <w:pStyle w:val="Bodytext0"/>
        <w:shd w:val="clear" w:color="auto" w:fill="auto"/>
        <w:spacing w:after="180" w:line="422" w:lineRule="exact"/>
        <w:ind w:right="40" w:firstLine="0"/>
        <w:jc w:val="left"/>
      </w:pPr>
      <w:r>
        <w:t>Norah Kyakuhaire (DW2) in support of her husband’s alibi testified that on 8</w:t>
      </w:r>
      <w:r>
        <w:rPr>
          <w:vertAlign w:val="superscript"/>
        </w:rPr>
        <w:t>th</w:t>
      </w:r>
      <w:r>
        <w:t xml:space="preserve"> July, 2008 she returned home at 6:00 p.m. from school where she was a </w:t>
      </w:r>
      <w:r>
        <w:t>teacher. She found her husband and children at home and they remained together till his arrest in the night.</w:t>
      </w:r>
    </w:p>
    <w:p w:rsidR="000809A6" w:rsidRDefault="00F84612" w:rsidP="000863B6">
      <w:pPr>
        <w:pStyle w:val="Bodytext0"/>
        <w:shd w:val="clear" w:color="auto" w:fill="auto"/>
        <w:spacing w:after="180" w:line="422" w:lineRule="exact"/>
        <w:ind w:right="40" w:firstLine="0"/>
        <w:jc w:val="left"/>
      </w:pPr>
      <w:r>
        <w:t>The arrest of the appellant was prompted by information circulating at th</w:t>
      </w:r>
      <w:r>
        <w:t xml:space="preserve">e scene that he </w:t>
      </w:r>
      <w:r>
        <w:lastRenderedPageBreak/>
        <w:t xml:space="preserve">was not on good terms with PW2 whom he suspected of having a love affair with his wife. The suspicion arose from the fact that </w:t>
      </w:r>
      <w:r>
        <w:t>PW2 had left a phone with the appellant’s wife for whom he was doing some casual work.</w:t>
      </w:r>
    </w:p>
    <w:p w:rsidR="000809A6" w:rsidRDefault="00F84612" w:rsidP="000863B6">
      <w:pPr>
        <w:pStyle w:val="Bodytext0"/>
        <w:shd w:val="clear" w:color="auto" w:fill="auto"/>
        <w:spacing w:after="184" w:line="422" w:lineRule="exact"/>
        <w:ind w:right="40" w:firstLine="0"/>
        <w:jc w:val="both"/>
      </w:pPr>
      <w:r>
        <w:t>According to PW2 and DW</w:t>
      </w:r>
      <w:r>
        <w:t xml:space="preserve">2, the phone was a pledge for a sum of Shs20,000/= which PW2 had borrowed from the appellant’s wife. PW2 had also taken a sum of Shs.850,000/= from DW2 on the pretext that he had a </w:t>
      </w:r>
      <w:r>
        <w:t>cure for her medical condition. These two incidents had soured the relat</w:t>
      </w:r>
      <w:r>
        <w:t>ionship between PW2 and the appellant who had allegedly warned PW2 that something was going to happen to him following which his house was burnt.</w:t>
      </w:r>
    </w:p>
    <w:p w:rsidR="000809A6" w:rsidRDefault="00F84612" w:rsidP="000863B6">
      <w:pPr>
        <w:pStyle w:val="Bodytext0"/>
        <w:shd w:val="clear" w:color="auto" w:fill="auto"/>
        <w:spacing w:after="176" w:line="418" w:lineRule="exact"/>
        <w:ind w:right="40" w:firstLine="0"/>
        <w:jc w:val="left"/>
      </w:pPr>
      <w:r>
        <w:t xml:space="preserve">Both the High Court and the Court of Appeal found that the case depended </w:t>
      </w:r>
      <w:r>
        <w:t xml:space="preserve">on circumstantial evidence and we </w:t>
      </w:r>
      <w:r>
        <w:t>agree. Both Courts rightly stated the principles which Courts apply in deciding cases based on circumstantial evidence as was re-stated in the case of Akbar Hussein Godi Vs Uganda (Supreme Court) Criminal Appeal No 03 of 2013) as follows:-</w:t>
      </w:r>
    </w:p>
    <w:p w:rsidR="000809A6" w:rsidRDefault="00F84612" w:rsidP="000863B6">
      <w:pPr>
        <w:pStyle w:val="Bodytext0"/>
        <w:shd w:val="clear" w:color="auto" w:fill="auto"/>
        <w:spacing w:after="0" w:line="422" w:lineRule="exact"/>
        <w:ind w:left="880" w:right="320" w:firstLine="0"/>
        <w:jc w:val="both"/>
      </w:pPr>
      <w:r>
        <w:t xml:space="preserve">“There are many </w:t>
      </w:r>
      <w:r>
        <w:t xml:space="preserve">decided cases which set out the relevant </w:t>
      </w:r>
      <w:r>
        <w:t xml:space="preserve">principles which Courts apply in deciding cases based on circumstantial evidence. In the case of Simon Musoke Vs R. (1958) E.A. 715 at page 718H, the Court of Appeal for East Africa held that in a case depending </w:t>
      </w:r>
      <w:r>
        <w:t xml:space="preserve">exclusively upon circumstantial evidence, the Court must, before deciding upon conviction, find </w:t>
      </w:r>
      <w:r>
        <w:t>that the inculpatory facts are incompatible with the innocence of the accused, and incapable of explanation upon any other reasonable hypothesis than that of</w:t>
      </w:r>
      <w:r>
        <w:t xml:space="preserve"> guilt “see also Teper Vs R.</w:t>
      </w:r>
      <w:r>
        <w:t xml:space="preserve">(1952) 2 ALL ER 447 . Also see Andrea Obonyo &amp; Others Vs R. (1962) E.A. 542 where the principles governing the application by </w:t>
      </w:r>
      <w:r>
        <w:t>Courts of circumstantial evidence were considered”.</w:t>
      </w:r>
    </w:p>
    <w:p w:rsidR="000809A6" w:rsidRDefault="00F84612" w:rsidP="000863B6">
      <w:pPr>
        <w:pStyle w:val="Bodytext0"/>
        <w:shd w:val="clear" w:color="auto" w:fill="auto"/>
        <w:spacing w:after="184" w:line="422" w:lineRule="exact"/>
        <w:ind w:left="20" w:right="40" w:firstLine="0"/>
        <w:jc w:val="both"/>
      </w:pPr>
      <w:r>
        <w:t>The circumstantial evidence relied upon by the</w:t>
      </w:r>
      <w:r>
        <w:t xml:space="preserve"> two Courts to convict the appellant consisted of the threat by appellant to do harm to PW2 and evidence that he was seen fleeing from the scene on his motorcycle. The appellant denied both incidents throughout his trial and in his appeal he </w:t>
      </w:r>
      <w:r>
        <w:t>raises two</w:t>
      </w:r>
      <w:r>
        <w:t xml:space="preserve"> grounds as follows:-</w:t>
      </w:r>
    </w:p>
    <w:p w:rsidR="000809A6" w:rsidRDefault="00F84612">
      <w:pPr>
        <w:pStyle w:val="Bodytext0"/>
        <w:numPr>
          <w:ilvl w:val="0"/>
          <w:numId w:val="1"/>
        </w:numPr>
        <w:shd w:val="clear" w:color="auto" w:fill="auto"/>
        <w:tabs>
          <w:tab w:val="left" w:pos="1002"/>
        </w:tabs>
        <w:spacing w:after="176" w:line="418" w:lineRule="exact"/>
        <w:ind w:left="700" w:right="40" w:firstLine="0"/>
        <w:jc w:val="both"/>
      </w:pPr>
      <w:r>
        <w:t xml:space="preserve">That the learned Justices of Appeal erred in law and fact when they failed to </w:t>
      </w:r>
      <w:r>
        <w:lastRenderedPageBreak/>
        <w:t>properly re-evaluate the circumstantial evidence on record to come up with their own conclusion.</w:t>
      </w:r>
    </w:p>
    <w:p w:rsidR="000809A6" w:rsidRDefault="00F84612" w:rsidP="000863B6">
      <w:pPr>
        <w:pStyle w:val="Bodytext0"/>
        <w:numPr>
          <w:ilvl w:val="0"/>
          <w:numId w:val="1"/>
        </w:numPr>
        <w:shd w:val="clear" w:color="auto" w:fill="auto"/>
        <w:tabs>
          <w:tab w:val="left" w:pos="1081"/>
        </w:tabs>
        <w:spacing w:after="0" w:line="422" w:lineRule="exact"/>
        <w:ind w:left="20" w:right="40" w:firstLine="660"/>
        <w:jc w:val="left"/>
      </w:pPr>
      <w:r>
        <w:t>That the learned Justices of Appeal erred in law and fact i</w:t>
      </w:r>
      <w:r>
        <w:t xml:space="preserve">n upholding an </w:t>
      </w:r>
      <w:r>
        <w:t>illegal sentence of the Appellant spending the rest of his life in prison (Life</w:t>
      </w:r>
      <w:r w:rsidR="000863B6">
        <w:t xml:space="preserve"> </w:t>
      </w:r>
      <w:r>
        <w:t>imprisonment) which was a manifestly excessive sentence.</w:t>
      </w:r>
    </w:p>
    <w:p w:rsidR="000809A6" w:rsidRDefault="00F84612">
      <w:pPr>
        <w:pStyle w:val="Bodytext0"/>
        <w:shd w:val="clear" w:color="auto" w:fill="auto"/>
        <w:spacing w:after="378" w:line="220" w:lineRule="exact"/>
        <w:ind w:left="20" w:firstLine="660"/>
        <w:jc w:val="both"/>
      </w:pPr>
      <w:r>
        <w:t>He prayed that</w:t>
      </w:r>
    </w:p>
    <w:p w:rsidR="000809A6" w:rsidRDefault="00F84612">
      <w:pPr>
        <w:pStyle w:val="Bodytext0"/>
        <w:numPr>
          <w:ilvl w:val="0"/>
          <w:numId w:val="2"/>
        </w:numPr>
        <w:shd w:val="clear" w:color="auto" w:fill="auto"/>
        <w:tabs>
          <w:tab w:val="left" w:pos="1409"/>
        </w:tabs>
        <w:spacing w:after="216" w:line="220" w:lineRule="exact"/>
        <w:ind w:left="20" w:firstLine="1000"/>
        <w:jc w:val="left"/>
      </w:pPr>
      <w:r>
        <w:t>The appeal be allowed.</w:t>
      </w:r>
    </w:p>
    <w:p w:rsidR="000809A6" w:rsidRDefault="00F84612" w:rsidP="000863B6">
      <w:pPr>
        <w:pStyle w:val="Bodytext0"/>
        <w:numPr>
          <w:ilvl w:val="0"/>
          <w:numId w:val="2"/>
        </w:numPr>
        <w:shd w:val="clear" w:color="auto" w:fill="auto"/>
        <w:tabs>
          <w:tab w:val="left" w:pos="1412"/>
        </w:tabs>
        <w:spacing w:after="0" w:line="422" w:lineRule="exact"/>
        <w:ind w:left="20" w:right="40" w:firstLine="1000"/>
        <w:jc w:val="left"/>
      </w:pPr>
      <w:r>
        <w:t>The harsh and excessive sentence of the appellant spending the</w:t>
      </w:r>
      <w:r>
        <w:t xml:space="preserve"> rest of </w:t>
      </w:r>
      <w:r>
        <w:t>his life in Prison be set aside or substituted with a lessor (sic) prison</w:t>
      </w:r>
      <w:r w:rsidR="000863B6">
        <w:t xml:space="preserve"> </w:t>
      </w:r>
      <w:r>
        <w:t>term.</w:t>
      </w:r>
    </w:p>
    <w:p w:rsidR="000809A6" w:rsidRDefault="00F84612">
      <w:pPr>
        <w:pStyle w:val="Bodytext0"/>
        <w:shd w:val="clear" w:color="auto" w:fill="auto"/>
        <w:spacing w:after="0" w:line="418" w:lineRule="exact"/>
        <w:ind w:left="700" w:right="40" w:firstLine="0"/>
        <w:jc w:val="both"/>
      </w:pPr>
      <w:r>
        <w:t>The second ground is badly drafted. It raises the issue of illegality of sentence related to imprisonment of the appellant for the rest of his life and mixes it wi</w:t>
      </w:r>
      <w:r>
        <w:t>th the issue of a manifestly excessive sentence.</w:t>
      </w:r>
    </w:p>
    <w:p w:rsidR="000809A6" w:rsidRDefault="00F84612" w:rsidP="000863B6">
      <w:pPr>
        <w:pStyle w:val="Bodytext0"/>
        <w:shd w:val="clear" w:color="auto" w:fill="auto"/>
        <w:spacing w:after="0" w:line="418" w:lineRule="exact"/>
        <w:ind w:left="20" w:right="40" w:firstLine="0"/>
        <w:jc w:val="both"/>
      </w:pPr>
      <w:r>
        <w:t xml:space="preserve">The prayer seems to abandon the issue of illegality but it is raised again in the appellant’s final submissions. Our observation is that Counsel should take more care in the drafting of the memoranda of </w:t>
      </w:r>
      <w:r>
        <w:t xml:space="preserve">Appeal so that there is no mixup of issues on Appeal. Both grounds will be resolved as matters of </w:t>
      </w:r>
      <w:r>
        <w:t>Law.</w:t>
      </w:r>
    </w:p>
    <w:p w:rsidR="000809A6" w:rsidRDefault="00F84612" w:rsidP="000863B6">
      <w:pPr>
        <w:pStyle w:val="Bodytext0"/>
        <w:shd w:val="clear" w:color="auto" w:fill="auto"/>
        <w:spacing w:after="360" w:line="422" w:lineRule="exact"/>
        <w:ind w:right="20" w:firstLine="0"/>
        <w:jc w:val="left"/>
      </w:pPr>
      <w:r>
        <w:t>At the hearing of the appeal the appellant was represented by Mr. Emmanuel Muwonge, Counsel on State Brief while the Respondent was represented by Ms</w:t>
      </w:r>
      <w:r>
        <w:t xml:space="preserve"> Caroline Nabasa, a Senior Principal State Attorney, </w:t>
      </w:r>
      <w:r>
        <w:t>Directorate of Public Prosecutions. Both Counsel filed written submissions which they adopted at the hearing of the appeal.</w:t>
      </w:r>
    </w:p>
    <w:p w:rsidR="000809A6" w:rsidRDefault="00F84612" w:rsidP="00C76C51">
      <w:pPr>
        <w:pStyle w:val="Bodytext0"/>
        <w:shd w:val="clear" w:color="auto" w:fill="auto"/>
        <w:spacing w:after="360" w:line="422" w:lineRule="exact"/>
        <w:ind w:right="20" w:firstLine="0"/>
        <w:jc w:val="both"/>
      </w:pPr>
      <w:r>
        <w:t>On the first ground of Appeal, Counsel for the appellant submitted that bot</w:t>
      </w:r>
      <w:r>
        <w:t xml:space="preserve">h the trial Court and the Court of Appeal correctly observed that the case </w:t>
      </w:r>
      <w:r>
        <w:t>against the appellant was based entirely on circumstantial evidence because there was no eyewitness who saw the appellant commit the crime. He also acknowledged that both Courts</w:t>
      </w:r>
      <w:r>
        <w:t xml:space="preserve"> correctly set out the principles that govern the Courts before any reliance can be placed on circumstantial evidence to convict a person. However, he faulted both Courts for having </w:t>
      </w:r>
      <w:r>
        <w:t>heavily relied on the testimony of PW9 which lacked credibility. Accor</w:t>
      </w:r>
      <w:r>
        <w:t xml:space="preserve">ding to Counsel, this witness only came to testify after the Court had detained his mother and maternal uncle and his evidence that he had been approached by PW2 with money to testify against the appellant </w:t>
      </w:r>
      <w:r>
        <w:lastRenderedPageBreak/>
        <w:t>makes his testimony unreliable and should not have</w:t>
      </w:r>
      <w:r>
        <w:t xml:space="preserve"> been believed. He also could not have </w:t>
      </w:r>
      <w:r>
        <w:t>identified the appellant in the conditions prevailing on the night he is alleged to have met the appellant riding his motor cycle following the incident.</w:t>
      </w:r>
    </w:p>
    <w:p w:rsidR="000809A6" w:rsidRDefault="00F84612" w:rsidP="00C76C51">
      <w:pPr>
        <w:pStyle w:val="Bodytext0"/>
        <w:shd w:val="clear" w:color="auto" w:fill="auto"/>
        <w:spacing w:after="0" w:line="422" w:lineRule="exact"/>
        <w:ind w:right="20" w:firstLine="0"/>
        <w:jc w:val="both"/>
      </w:pPr>
      <w:r>
        <w:t>In reply Counsel for the Respondent submitted that the Cour</w:t>
      </w:r>
      <w:r>
        <w:t xml:space="preserve">t of Appeal properly re-evaluated the evidence as required of a first appellate Court and </w:t>
      </w:r>
      <w:r>
        <w:t>given the strong circumstantial evidence adduced by the prosecution, the appellant was placed at the scene of crime. She submitted that the circumstantial evidenc</w:t>
      </w:r>
      <w:r>
        <w:t xml:space="preserve">e rotated around the grudge between the appellant and PW2 and the evidence of PW9 who met the appellant fleeing from the scene. According to this witness, the appellant was carrying a yellow five </w:t>
      </w:r>
      <w:r>
        <w:t>liter jerrycan which fell off the motor cycle and he ass</w:t>
      </w:r>
      <w:r>
        <w:t>isted him to retrieve it. He identified him in the process.</w:t>
      </w:r>
      <w:r>
        <w:br w:type="page"/>
      </w:r>
    </w:p>
    <w:p w:rsidR="000809A6" w:rsidRDefault="00F84612" w:rsidP="00C76C51">
      <w:pPr>
        <w:pStyle w:val="Bodytext0"/>
        <w:shd w:val="clear" w:color="auto" w:fill="auto"/>
        <w:spacing w:after="356" w:line="418" w:lineRule="exact"/>
        <w:ind w:firstLine="0"/>
        <w:jc w:val="left"/>
      </w:pPr>
      <w:r>
        <w:lastRenderedPageBreak/>
        <w:t xml:space="preserve">This Court being a second appellate Court is not required to re-evaluate the whole evidence unless it is found that the first appellate Court did not </w:t>
      </w:r>
      <w:r>
        <w:t xml:space="preserve">sufficiently re-evaluate the evidence to </w:t>
      </w:r>
      <w:r>
        <w:t>draw its own conclusion. This is the position which was stated in the case of Kifamunte Henry Vs Uganda SCCA 10 of 1997 as follows:-</w:t>
      </w:r>
    </w:p>
    <w:p w:rsidR="000809A6" w:rsidRDefault="00F84612">
      <w:pPr>
        <w:pStyle w:val="Bodytext0"/>
        <w:shd w:val="clear" w:color="auto" w:fill="auto"/>
        <w:spacing w:after="244" w:line="422" w:lineRule="exact"/>
        <w:ind w:firstLine="0"/>
        <w:jc w:val="both"/>
      </w:pPr>
      <w:r>
        <w:t>“It is the Court of Appeal as the first appellate Court which has duty to re-evaluate the evidence of</w:t>
      </w:r>
      <w:r>
        <w:t xml:space="preserve"> the trial Court. This Court will no doubt consider the facts of the appeal to the extent of considering the relevant point of law or mixed law and fac</w:t>
      </w:r>
      <w:r w:rsidR="00C76C51">
        <w:t>t raised in any appeal. If we</w:t>
      </w:r>
      <w:r>
        <w:t xml:space="preserve"> </w:t>
      </w:r>
      <w:r w:rsidR="00C76C51">
        <w:t>re-</w:t>
      </w:r>
      <w:r>
        <w:t>evaluate the facts of each case wholesale we will assume the duty of the</w:t>
      </w:r>
      <w:r>
        <w:t xml:space="preserve"> first appellate Court and create unnecessary uncertainty. We can interfere with the conclusions of the Court of Appeal if it appears that in consideration of the appeal as a first appellant Court, the Court of Appeal misapplied or failed to apply the prin</w:t>
      </w:r>
      <w:r>
        <w:t>ciples set out in such decisions as Pandya (Supra) Ruwala (Supra) Kairu (Supra)”</w:t>
      </w:r>
    </w:p>
    <w:p w:rsidR="000809A6" w:rsidRDefault="00F84612" w:rsidP="00C76C51">
      <w:pPr>
        <w:pStyle w:val="Bodytext0"/>
        <w:shd w:val="clear" w:color="auto" w:fill="auto"/>
        <w:spacing w:after="356" w:line="418" w:lineRule="exact"/>
        <w:ind w:firstLine="0"/>
        <w:jc w:val="both"/>
      </w:pPr>
      <w:r>
        <w:t>In view of the defence of alibi raised by the appellant, it was incumbent on the trial Court and the Court of Appeal to determine whether or not the appellant was put at the s</w:t>
      </w:r>
      <w:r>
        <w:t>cene of crime. The guidelines as to what amounts to putting the accused at the scene of crime were set by the Supreme Court of Uganda in the case of Bogere and Anor (Supreme Court Criminal Appeal No 1 of 1997) where it was held as follows:</w:t>
      </w:r>
    </w:p>
    <w:p w:rsidR="000809A6" w:rsidRDefault="00F84612" w:rsidP="002B3B81">
      <w:pPr>
        <w:pStyle w:val="Bodytext0"/>
        <w:shd w:val="clear" w:color="auto" w:fill="auto"/>
        <w:spacing w:after="360" w:line="422" w:lineRule="exact"/>
        <w:ind w:left="720" w:right="300" w:firstLine="240"/>
        <w:jc w:val="left"/>
      </w:pPr>
      <w:r>
        <w:t>“What then amoun</w:t>
      </w:r>
      <w:r>
        <w:t xml:space="preserve">ts to putting an accused at the scene of crime? We think </w:t>
      </w:r>
      <w:r>
        <w:t xml:space="preserve">that the expression must mean proof to the required </w:t>
      </w:r>
      <w:r>
        <w:t>standard that the accused was at the scene of crime at the material time.</w:t>
      </w:r>
    </w:p>
    <w:p w:rsidR="000809A6" w:rsidRDefault="00F84612" w:rsidP="002B3B81">
      <w:pPr>
        <w:pStyle w:val="Bodytext0"/>
        <w:shd w:val="clear" w:color="auto" w:fill="auto"/>
        <w:spacing w:after="0" w:line="422" w:lineRule="exact"/>
        <w:ind w:left="960" w:right="300" w:firstLine="0"/>
        <w:jc w:val="left"/>
      </w:pPr>
      <w:r>
        <w:t>To hold that such proof has been achieved, the Court must not base it</w:t>
      </w:r>
      <w:r>
        <w:t>self on the isolated evaluation of the prosecution evidence</w:t>
      </w:r>
      <w:r>
        <w:br w:type="page"/>
      </w:r>
      <w:r>
        <w:lastRenderedPageBreak/>
        <w:t>alone, but must base itself upon the evaluation of the evidence as a whole. Where the prosecution adduces evidence showing that the accused was at the scene of crime, and the defence not only</w:t>
      </w:r>
      <w:r>
        <w:t xml:space="preserve"> denies it but also adduces that he was elsewhere at the material time it is incumbent on the Court to evaluate both versions </w:t>
      </w:r>
      <w:r>
        <w:t>judicially and give reasons why one and not the other version is accepted. It is misdirection to accept one version and then h</w:t>
      </w:r>
      <w:r>
        <w:t>old that because of that acceptance per se the other version is unsustainable</w:t>
      </w:r>
      <w:r>
        <w:tab/>
        <w:t>”</w:t>
      </w:r>
    </w:p>
    <w:p w:rsidR="000809A6" w:rsidRDefault="00F84612" w:rsidP="002B3B81">
      <w:pPr>
        <w:pStyle w:val="Bodytext0"/>
        <w:shd w:val="clear" w:color="auto" w:fill="auto"/>
        <w:spacing w:after="0" w:line="422" w:lineRule="exact"/>
        <w:ind w:left="20" w:right="20" w:firstLine="0"/>
        <w:jc w:val="both"/>
      </w:pPr>
      <w:r>
        <w:t>As already indicated the case against the appellant is dependant on circumstantial evidence and the question is whether the Courts below subjected it to close scrutiny as is required. The requirement to subject circumstantial evidence to close scrutiny</w:t>
      </w:r>
      <w:r>
        <w:t xml:space="preserve"> was emphasised in the case of Katende Semakula vs. Uganda (Supreme Court Criminal Appeal No. 11/ </w:t>
      </w:r>
      <w:r>
        <w:t>1994) where it was stated as follows:-</w:t>
      </w:r>
    </w:p>
    <w:p w:rsidR="000809A6" w:rsidRDefault="00F84612">
      <w:pPr>
        <w:pStyle w:val="Bodytext0"/>
        <w:shd w:val="clear" w:color="auto" w:fill="auto"/>
        <w:spacing w:after="364" w:line="422" w:lineRule="exact"/>
        <w:ind w:left="980" w:right="320" w:firstLine="0"/>
        <w:jc w:val="both"/>
      </w:pPr>
      <w:r>
        <w:t>“Another requirement concerning circumstantial evidence is that it must be narrowly examined, because evidence of t</w:t>
      </w:r>
      <w:r>
        <w:t xml:space="preserve">his kind may be fabricated to cast suspicion on another. It is therefore necessary before drawing the inference of the accused’s guilt from </w:t>
      </w:r>
      <w:r>
        <w:t>circumstantial evidence to be sure that there are no other co</w:t>
      </w:r>
      <w:r>
        <w:softHyphen/>
        <w:t>existing circumstances which would weaken or destr</w:t>
      </w:r>
      <w:r>
        <w:t>oy the inference...”</w:t>
      </w:r>
    </w:p>
    <w:p w:rsidR="000809A6" w:rsidRDefault="00F84612" w:rsidP="002B3B81">
      <w:pPr>
        <w:pStyle w:val="Bodytext0"/>
        <w:shd w:val="clear" w:color="auto" w:fill="auto"/>
        <w:spacing w:after="0" w:line="418" w:lineRule="exact"/>
        <w:ind w:right="20" w:firstLine="0"/>
        <w:jc w:val="left"/>
      </w:pPr>
      <w:r>
        <w:t xml:space="preserve">The first piece of circumstantial evidence relied on by both Courts to </w:t>
      </w:r>
      <w:r>
        <w:t>connect the appellant with the offence was a threat allegedly uttered by the appellant to PW2 on phone. The value to be attached to evidence of a prior threat w</w:t>
      </w:r>
      <w:r>
        <w:t>as discussed in the case of Waihi and Anor Vs Uganda (1968) E.A.</w:t>
      </w:r>
      <w:r>
        <w:t>278 at p. 280 where the East African Court of Appeal stated:-</w:t>
      </w:r>
    </w:p>
    <w:p w:rsidR="000809A6" w:rsidRDefault="00F84612" w:rsidP="00592DEA">
      <w:pPr>
        <w:pStyle w:val="Bodytext0"/>
        <w:shd w:val="clear" w:color="auto" w:fill="auto"/>
        <w:spacing w:after="0" w:line="422" w:lineRule="exact"/>
        <w:ind w:left="980" w:right="320" w:hanging="260"/>
        <w:jc w:val="both"/>
        <w:sectPr w:rsidR="000809A6">
          <w:type w:val="continuous"/>
          <w:pgSz w:w="12240" w:h="15840"/>
          <w:pgMar w:top="1005" w:right="1217" w:bottom="1490" w:left="1289" w:header="0" w:footer="3" w:gutter="0"/>
          <w:cols w:space="720"/>
          <w:noEndnote/>
          <w:docGrid w:linePitch="360"/>
        </w:sectPr>
      </w:pPr>
      <w:r>
        <w:t xml:space="preserve"> “Evidence of a prior threat or of an announced intention to kill is always admissible evidence against a </w:t>
      </w:r>
      <w:r>
        <w:t>persons accused of murder,</w:t>
      </w:r>
    </w:p>
    <w:p w:rsidR="000809A6" w:rsidRDefault="00F84612">
      <w:pPr>
        <w:pStyle w:val="Bodytext0"/>
        <w:shd w:val="clear" w:color="auto" w:fill="auto"/>
        <w:spacing w:after="360" w:line="422" w:lineRule="exact"/>
        <w:ind w:left="980" w:right="280" w:firstLine="0"/>
        <w:jc w:val="both"/>
      </w:pPr>
      <w:r>
        <w:rPr>
          <w:rStyle w:val="Bodytext1"/>
        </w:rPr>
        <w:lastRenderedPageBreak/>
        <w:t>even amount to nothing</w:t>
      </w:r>
      <w:r>
        <w:t xml:space="preserve">. Regard must be had to the manner in which a threat is uttered, whether it is spoken bitterly or of </w:t>
      </w:r>
      <w:r>
        <w:t>impulsively in sudden anger or joki</w:t>
      </w:r>
      <w:r w:rsidR="00592DEA">
        <w:t>ngly, and reason for the threat</w:t>
      </w:r>
      <w:r>
        <w:t>, if given , and the length of time</w:t>
      </w:r>
      <w:r>
        <w:t xml:space="preserve"> between the threat and the killing are also material. Being admissible and being evidence tending to connect the accused person with the offence charged, a </w:t>
      </w:r>
      <w:r>
        <w:lastRenderedPageBreak/>
        <w:t xml:space="preserve">prior threat is, we think capable of corroborating a confession ....” </w:t>
      </w:r>
      <w:r>
        <w:t>(underlining provided)</w:t>
      </w:r>
    </w:p>
    <w:p w:rsidR="000809A6" w:rsidRDefault="00F84612" w:rsidP="00592DEA">
      <w:pPr>
        <w:pStyle w:val="Bodytext0"/>
        <w:shd w:val="clear" w:color="auto" w:fill="auto"/>
        <w:spacing w:after="360" w:line="422" w:lineRule="exact"/>
        <w:ind w:firstLine="0"/>
        <w:jc w:val="both"/>
      </w:pPr>
      <w:r>
        <w:t>In</w:t>
      </w:r>
      <w:r>
        <w:t xml:space="preserve"> this case, the appellant denies having made the threats and there was no verification of any telephone contact between the appellant and PW2. Secondly, from our reading of the case of Waihi Vs Uganda (Supra) evidence </w:t>
      </w:r>
      <w:r>
        <w:t>of prior threat cannot stand on it</w:t>
      </w:r>
      <w:r>
        <w:t>s own. It can only be used for corroboration of other evidence which in this case is that the appellant was not only seen at the scene but was also seen fleeing from the scene on his motor cycle.</w:t>
      </w:r>
    </w:p>
    <w:p w:rsidR="000809A6" w:rsidRDefault="00F84612" w:rsidP="005157B0">
      <w:pPr>
        <w:pStyle w:val="Bodytext0"/>
        <w:shd w:val="clear" w:color="auto" w:fill="auto"/>
        <w:spacing w:after="360" w:line="422" w:lineRule="exact"/>
        <w:ind w:firstLine="0"/>
        <w:jc w:val="left"/>
      </w:pPr>
      <w:r>
        <w:t>According to the evidence of PW2 it was his mother, Rose Kab</w:t>
      </w:r>
      <w:r>
        <w:t xml:space="preserve">atoro (PW3) </w:t>
      </w:r>
      <w:r>
        <w:t>who informed people at the scene that she knew the person who had set the house on fire and had seen him jump on his motor cycle and ride away. But the trial judge, rightly so in our view disregarded this evidence when he observed as follow</w:t>
      </w:r>
      <w:r>
        <w:t>s:-</w:t>
      </w:r>
    </w:p>
    <w:p w:rsidR="000809A6" w:rsidRDefault="00F84612" w:rsidP="005157B0">
      <w:pPr>
        <w:pStyle w:val="Bodytext0"/>
        <w:shd w:val="clear" w:color="auto" w:fill="auto"/>
        <w:spacing w:after="0" w:line="422" w:lineRule="exact"/>
        <w:ind w:left="980" w:right="280" w:hanging="260"/>
        <w:jc w:val="both"/>
        <w:sectPr w:rsidR="000809A6">
          <w:footerReference w:type="default" r:id="rId9"/>
          <w:headerReference w:type="first" r:id="rId10"/>
          <w:footerReference w:type="first" r:id="rId11"/>
          <w:type w:val="continuous"/>
          <w:pgSz w:w="12240" w:h="15840"/>
          <w:pgMar w:top="1420" w:right="1265" w:bottom="1497" w:left="1265" w:header="0" w:footer="3" w:gutter="0"/>
          <w:cols w:space="720"/>
          <w:noEndnote/>
          <w:titlePg/>
          <w:docGrid w:linePitch="360"/>
        </w:sectPr>
      </w:pPr>
      <w:r>
        <w:t xml:space="preserve"> “It is easily discernable that the PW3’s Court version alleging that she had identified the accus</w:t>
      </w:r>
      <w:r>
        <w:t xml:space="preserve">ed fleeing from the scene that night was ill contrived. She was evidently influenced to state so, by the ultimatum and threat she and PW2 claim the accused uttered for her family; and given that indeed the tragic fire incident took </w:t>
      </w:r>
      <w:r>
        <w:t>place within this ti</w:t>
      </w:r>
      <w:r>
        <w:t xml:space="preserve">me. In addition was her claim that she heard some people allege the morning after the fire that the accused had been seen with a jerrycan on a motor cycle fleeing from the scene of the fire. This was, </w:t>
      </w:r>
      <w:r w:rsidR="005157B0">
        <w:t>in any case hearsay evidence and</w:t>
      </w:r>
      <w:r w:rsidR="005157B0">
        <w:tab/>
      </w:r>
      <w:r w:rsidR="005157B0">
        <w:tab/>
      </w:r>
      <w:r w:rsidR="005157B0">
        <w:tab/>
      </w:r>
    </w:p>
    <w:p w:rsidR="000809A6" w:rsidRDefault="00F84612" w:rsidP="005157B0">
      <w:pPr>
        <w:pStyle w:val="Bodytext0"/>
        <w:shd w:val="clear" w:color="auto" w:fill="auto"/>
        <w:spacing w:after="133" w:line="220" w:lineRule="exact"/>
        <w:ind w:right="320" w:firstLine="720"/>
        <w:jc w:val="left"/>
      </w:pPr>
      <w:r>
        <w:lastRenderedPageBreak/>
        <w:t>inadmissible. PW3’s cl</w:t>
      </w:r>
      <w:r>
        <w:t>aim that fateful night is therefore worthless.</w:t>
      </w:r>
    </w:p>
    <w:p w:rsidR="000809A6" w:rsidRDefault="00F84612" w:rsidP="005157B0">
      <w:pPr>
        <w:pStyle w:val="Bodytext0"/>
        <w:shd w:val="clear" w:color="auto" w:fill="auto"/>
        <w:spacing w:after="396" w:line="220" w:lineRule="exact"/>
        <w:ind w:firstLine="700"/>
        <w:jc w:val="both"/>
      </w:pPr>
      <w:r>
        <w:t>I must disregard it.”</w:t>
      </w:r>
    </w:p>
    <w:p w:rsidR="000809A6" w:rsidRDefault="00F84612" w:rsidP="005157B0">
      <w:pPr>
        <w:pStyle w:val="Bodytext0"/>
        <w:shd w:val="clear" w:color="auto" w:fill="auto"/>
        <w:spacing w:after="0" w:line="422" w:lineRule="exact"/>
        <w:ind w:right="20" w:firstLine="0"/>
        <w:jc w:val="both"/>
      </w:pPr>
      <w:r>
        <w:t xml:space="preserve">After disregarding the evidence of PW3, the only other piece of circumstantial evidence relied on to connect the appellant was that he was seen fleeing from the scene on his motor </w:t>
      </w:r>
      <w:r>
        <w:t xml:space="preserve">cycle. According to No 25383 </w:t>
      </w:r>
      <w:r>
        <w:t>D/CPL Okatayot Simon, an investigating officer who testified as a Court witness two people namely Mukubwa Peter a motor cycle rider who did not testify at the trial and Byakagaba Israel (PW9) a bicycle rider claimed to have</w:t>
      </w:r>
      <w:r>
        <w:t xml:space="preserve"> met a person </w:t>
      </w:r>
      <w:r>
        <w:lastRenderedPageBreak/>
        <w:t>riding a TVS motor cycle on which he was carrying a five litre jerrycan.</w:t>
      </w:r>
    </w:p>
    <w:p w:rsidR="000809A6" w:rsidRDefault="00F84612" w:rsidP="005157B0">
      <w:pPr>
        <w:pStyle w:val="Bodytext0"/>
        <w:shd w:val="clear" w:color="auto" w:fill="auto"/>
        <w:spacing w:after="176" w:line="418" w:lineRule="exact"/>
        <w:ind w:right="20" w:firstLine="0"/>
        <w:jc w:val="both"/>
      </w:pPr>
      <w:r>
        <w:t>Mukubwa did not identify the person while Byakagaba who testified as PW9 claimed to have identified the appellant whom he assisted to retrieve the five litre jerry c</w:t>
      </w:r>
      <w:r>
        <w:t>an which had fallen from the motorcycle.</w:t>
      </w:r>
    </w:p>
    <w:p w:rsidR="000809A6" w:rsidRDefault="00F84612" w:rsidP="005157B0">
      <w:pPr>
        <w:pStyle w:val="Bodytext0"/>
        <w:shd w:val="clear" w:color="auto" w:fill="auto"/>
        <w:spacing w:after="180" w:line="422" w:lineRule="exact"/>
        <w:ind w:right="20" w:firstLine="0"/>
        <w:jc w:val="both"/>
      </w:pPr>
      <w:r>
        <w:t xml:space="preserve">But in his own testimony this is what he stated “the complainant </w:t>
      </w:r>
      <w:r>
        <w:t>approached me and asked me to go and give evidence on how I had met the accused. He asked me if I knew the person who had burnt his house I told h</w:t>
      </w:r>
      <w:r>
        <w:t>im I did not know the person, and then he asked me go and give statement at police. I accepted but asked him for 5 million shillings. He refused up to now”.</w:t>
      </w:r>
    </w:p>
    <w:p w:rsidR="000809A6" w:rsidRDefault="00F84612" w:rsidP="005157B0">
      <w:pPr>
        <w:pStyle w:val="Bodytext0"/>
        <w:shd w:val="clear" w:color="auto" w:fill="auto"/>
        <w:spacing w:after="0" w:line="422" w:lineRule="exact"/>
        <w:ind w:left="20" w:right="20" w:firstLine="0"/>
        <w:jc w:val="both"/>
        <w:sectPr w:rsidR="000809A6">
          <w:type w:val="continuous"/>
          <w:pgSz w:w="12240" w:h="15840"/>
          <w:pgMar w:top="319" w:right="1133" w:bottom="2593" w:left="1157" w:header="0" w:footer="3" w:gutter="0"/>
          <w:cols w:space="720"/>
          <w:noEndnote/>
          <w:docGrid w:linePitch="360"/>
        </w:sectPr>
      </w:pPr>
      <w:r>
        <w:t>Earlier he had stated that he never mentioned to anyone that he had met Baitw</w:t>
      </w:r>
      <w:r>
        <w:t>abusa. He also denied having made any statement at the police. Later he admitted recording a statement at the police and although there was a suggestion that the appellant had approached him to influence him not to testify against him he denied ever meetin</w:t>
      </w:r>
      <w:r>
        <w:t xml:space="preserve">g the complainant or the appellant </w:t>
      </w:r>
      <w:r>
        <w:t>after he had made his statement at the police. He denied having discussed the case with his uncle George Magambo (PW8) and his mother Evasi Kaheru (PW7). He denied having told his mother that he had seen the accused o</w:t>
      </w:r>
      <w:r>
        <w:t>n the night of the fire.</w:t>
      </w:r>
    </w:p>
    <w:p w:rsidR="000809A6" w:rsidRDefault="00F84612" w:rsidP="005157B0">
      <w:pPr>
        <w:pStyle w:val="Bodytext0"/>
        <w:shd w:val="clear" w:color="auto" w:fill="auto"/>
        <w:spacing w:after="364" w:line="422" w:lineRule="exact"/>
        <w:ind w:right="20" w:firstLine="0"/>
        <w:jc w:val="both"/>
      </w:pPr>
      <w:r>
        <w:lastRenderedPageBreak/>
        <w:t xml:space="preserve">In our view, the two pieces of circumstantial evidence did not point </w:t>
      </w:r>
      <w:r>
        <w:t>irresistibly to the guilt of the appellant. The evidence of the District police commander who arrested the appellant from his home did not help in linking the</w:t>
      </w:r>
      <w:r>
        <w:t xml:space="preserve"> appellant with the offence. According to the witness he heard the name of appellant being mentioned at the scene and he went to his home where he found him sleeping. No search was conducted at the home of the </w:t>
      </w:r>
      <w:r>
        <w:t xml:space="preserve">appellant especially if anybody mentioned </w:t>
      </w:r>
      <w:r>
        <w:t>that he had been seen fleeing on his motorcycle whose registration number was not given but was described as blue in colour. There was mention of a yellow small jerycan which was never recovered. Moreover PW9 who testified that he had met the appellant, on</w:t>
      </w:r>
      <w:r>
        <w:t xml:space="preserve"> the night the crime was allegedly committed told court that he never told </w:t>
      </w:r>
      <w:r>
        <w:t>any body so including the complainant whom he told that he did not know the person who had set fire to his property. It was only after he was promised Shs.5 million that he agre</w:t>
      </w:r>
      <w:r>
        <w:t xml:space="preserve">ed to go and make a statement at the police. The complainant reneged on his promise to pay him Shs.5 million which may explain why he was reluctant to testify in Court till his relatives </w:t>
      </w:r>
      <w:r>
        <w:t>were imprisoned. There was also evidence that he was approached b</w:t>
      </w:r>
      <w:r>
        <w:t>y the appellant to withdraw his statement at the police which may explain the disappearance of his statement from the police file.</w:t>
      </w:r>
    </w:p>
    <w:p w:rsidR="000809A6" w:rsidRDefault="00F84612" w:rsidP="005157B0">
      <w:pPr>
        <w:pStyle w:val="Bodytext0"/>
        <w:shd w:val="clear" w:color="auto" w:fill="auto"/>
        <w:spacing w:after="0" w:line="418" w:lineRule="exact"/>
        <w:ind w:right="20" w:firstLine="0"/>
        <w:jc w:val="both"/>
      </w:pPr>
      <w:r>
        <w:t xml:space="preserve">We do not see how the trial Court and Court of Appeal would find P.W.9 </w:t>
      </w:r>
      <w:r>
        <w:t>such a credible witness as to disprove the alibi r</w:t>
      </w:r>
      <w:r>
        <w:t>aised by the appellant. On the contrary his credibility would be in question whether he was approached by the appellant to exonerate him of the crime or by the complainant to fabricate a story that he had met the appellant fleeing from the scene. On that b</w:t>
      </w:r>
      <w:r>
        <w:t>asis we find that although both courts were alive to the principles 305 regarding circumstantial evidence, none of them subjected it to the scrutiny required before basing a conviction on it. We are of the view that the evidence on record left the appellan</w:t>
      </w:r>
      <w:r>
        <w:t>t as a mere suspect. Suspicion, however strong it may be does not lead to conviction. See R v. Israel Epuku S/0 Achietu [1934] IEACA 166.</w:t>
      </w:r>
    </w:p>
    <w:p w:rsidR="000809A6" w:rsidRDefault="00F84612" w:rsidP="0003353C">
      <w:pPr>
        <w:pStyle w:val="Bodytext0"/>
        <w:shd w:val="clear" w:color="auto" w:fill="auto"/>
        <w:spacing w:after="342" w:line="422" w:lineRule="exact"/>
        <w:ind w:right="240" w:firstLine="0"/>
        <w:jc w:val="both"/>
      </w:pPr>
      <w:r>
        <w:t>In the result the appellant’s appeal is allowed. His conviction on all counts of murder is quashed and is to be re</w:t>
      </w:r>
      <w:r>
        <w:t>leased from custody unless he is being held on other lawful charges.</w:t>
      </w:r>
    </w:p>
    <w:p w:rsidR="000809A6" w:rsidRPr="0003353C" w:rsidRDefault="00F84612">
      <w:pPr>
        <w:pStyle w:val="Bodytext0"/>
        <w:shd w:val="clear" w:color="auto" w:fill="auto"/>
        <w:tabs>
          <w:tab w:val="left" w:leader="dot" w:pos="3858"/>
          <w:tab w:val="left" w:leader="dot" w:pos="5087"/>
          <w:tab w:val="left" w:leader="dot" w:pos="6350"/>
        </w:tabs>
        <w:spacing w:after="973" w:line="220" w:lineRule="exact"/>
        <w:ind w:left="700" w:firstLine="0"/>
        <w:jc w:val="left"/>
        <w:rPr>
          <w:b/>
        </w:rPr>
      </w:pPr>
      <w:r w:rsidRPr="0003353C">
        <w:rPr>
          <w:b/>
        </w:rPr>
        <w:t>Dated at Kampala this</w:t>
      </w:r>
      <w:r w:rsidRPr="0003353C">
        <w:rPr>
          <w:b/>
        </w:rPr>
        <w:tab/>
        <w:t>4th</w:t>
      </w:r>
      <w:r w:rsidRPr="0003353C">
        <w:rPr>
          <w:b/>
        </w:rPr>
        <w:tab/>
        <w:t>day of</w:t>
      </w:r>
      <w:r w:rsidRPr="0003353C">
        <w:rPr>
          <w:b/>
        </w:rPr>
        <w:tab/>
        <w:t>August.,.2017</w:t>
      </w:r>
    </w:p>
    <w:p w:rsidR="000809A6" w:rsidRDefault="00F84612" w:rsidP="0003353C">
      <w:pPr>
        <w:pStyle w:val="Bodytext0"/>
        <w:shd w:val="clear" w:color="auto" w:fill="auto"/>
        <w:spacing w:after="8" w:line="220" w:lineRule="exact"/>
        <w:ind w:left="700" w:firstLine="0"/>
        <w:jc w:val="both"/>
      </w:pPr>
      <w:r>
        <w:lastRenderedPageBreak/>
        <w:t>Tumwesigye</w:t>
      </w:r>
    </w:p>
    <w:p w:rsidR="000809A6" w:rsidRDefault="00F84612">
      <w:pPr>
        <w:pStyle w:val="Bodytext0"/>
        <w:shd w:val="clear" w:color="auto" w:fill="auto"/>
        <w:spacing w:after="843" w:line="220" w:lineRule="exact"/>
        <w:ind w:left="700" w:firstLine="0"/>
        <w:jc w:val="left"/>
      </w:pPr>
      <w:r>
        <w:t>JUSTICE OF THE SUPREME COURT</w:t>
      </w:r>
    </w:p>
    <w:p w:rsidR="000809A6" w:rsidRDefault="00F84612" w:rsidP="0003353C">
      <w:pPr>
        <w:pStyle w:val="Bodytext0"/>
        <w:shd w:val="clear" w:color="auto" w:fill="auto"/>
        <w:spacing w:after="8" w:line="220" w:lineRule="exact"/>
        <w:ind w:left="700" w:firstLine="0"/>
        <w:jc w:val="both"/>
      </w:pPr>
      <w:r>
        <w:t>Mwangusya</w:t>
      </w:r>
    </w:p>
    <w:p w:rsidR="000809A6" w:rsidRDefault="00F84612">
      <w:pPr>
        <w:pStyle w:val="Bodytext0"/>
        <w:shd w:val="clear" w:color="auto" w:fill="auto"/>
        <w:spacing w:after="769" w:line="220" w:lineRule="exact"/>
        <w:ind w:left="700" w:firstLine="0"/>
        <w:jc w:val="left"/>
      </w:pPr>
      <w:r>
        <w:t>JUSTICE OF THE SUPREME COURT</w:t>
      </w:r>
    </w:p>
    <w:p w:rsidR="000809A6" w:rsidRDefault="00F84612">
      <w:pPr>
        <w:pStyle w:val="Bodytext0"/>
        <w:shd w:val="clear" w:color="auto" w:fill="auto"/>
        <w:spacing w:after="0" w:line="283" w:lineRule="exact"/>
        <w:ind w:left="700" w:firstLine="0"/>
        <w:jc w:val="left"/>
      </w:pPr>
      <w:r>
        <w:t>Opio Aweri</w:t>
      </w:r>
    </w:p>
    <w:p w:rsidR="000809A6" w:rsidRDefault="00F84612">
      <w:pPr>
        <w:pStyle w:val="Bodytext0"/>
        <w:shd w:val="clear" w:color="auto" w:fill="auto"/>
        <w:spacing w:after="531" w:line="283" w:lineRule="exact"/>
        <w:ind w:left="700" w:firstLine="0"/>
        <w:jc w:val="left"/>
      </w:pPr>
      <w:r>
        <w:t>JUSTICE OF THE SUPREME COURT</w:t>
      </w:r>
    </w:p>
    <w:p w:rsidR="000809A6" w:rsidRDefault="00F84612">
      <w:pPr>
        <w:pStyle w:val="Bodytext0"/>
        <w:shd w:val="clear" w:color="auto" w:fill="auto"/>
        <w:spacing w:after="8" w:line="220" w:lineRule="exact"/>
        <w:ind w:left="700" w:firstLine="0"/>
        <w:jc w:val="left"/>
      </w:pPr>
      <w:r>
        <w:t>Mwondha</w:t>
      </w:r>
    </w:p>
    <w:p w:rsidR="000809A6" w:rsidRDefault="00F84612">
      <w:pPr>
        <w:pStyle w:val="Bodytext0"/>
        <w:shd w:val="clear" w:color="auto" w:fill="auto"/>
        <w:spacing w:after="279" w:line="220" w:lineRule="exact"/>
        <w:ind w:left="700" w:firstLine="0"/>
        <w:jc w:val="left"/>
      </w:pPr>
      <w:r>
        <w:t>JUSTICE OF THE SUPREME COURT</w:t>
      </w:r>
    </w:p>
    <w:p w:rsidR="0003353C" w:rsidRDefault="00F84612">
      <w:pPr>
        <w:pStyle w:val="Bodytext0"/>
        <w:shd w:val="clear" w:color="auto" w:fill="auto"/>
        <w:spacing w:after="0" w:line="278" w:lineRule="exact"/>
        <w:ind w:left="700" w:right="1880" w:firstLine="0"/>
        <w:jc w:val="left"/>
      </w:pPr>
      <w:r>
        <w:t xml:space="preserve">Tibatemwa Ekirukubinza </w:t>
      </w:r>
    </w:p>
    <w:p w:rsidR="000809A6" w:rsidRDefault="00F84612">
      <w:pPr>
        <w:pStyle w:val="Bodytext0"/>
        <w:shd w:val="clear" w:color="auto" w:fill="auto"/>
        <w:spacing w:after="0" w:line="278" w:lineRule="exact"/>
        <w:ind w:left="700" w:right="1880" w:firstLine="0"/>
        <w:jc w:val="left"/>
      </w:pPr>
      <w:r>
        <w:t>JUSTICE OF THE SUPREME COURT</w:t>
      </w:r>
    </w:p>
    <w:p w:rsidR="000809A6" w:rsidRDefault="000809A6">
      <w:pPr>
        <w:pStyle w:val="Bodytext0"/>
        <w:shd w:val="clear" w:color="auto" w:fill="auto"/>
        <w:spacing w:after="0" w:line="278" w:lineRule="exact"/>
        <w:ind w:left="700" w:hanging="700"/>
        <w:jc w:val="both"/>
      </w:pPr>
    </w:p>
    <w:sectPr w:rsidR="000809A6" w:rsidSect="000809A6">
      <w:footerReference w:type="default" r:id="rId12"/>
      <w:headerReference w:type="first" r:id="rId13"/>
      <w:footerReference w:type="first" r:id="rId14"/>
      <w:pgSz w:w="12240" w:h="15840"/>
      <w:pgMar w:top="319" w:right="1133" w:bottom="2593" w:left="115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612" w:rsidRDefault="00F84612" w:rsidP="000809A6">
      <w:r>
        <w:separator/>
      </w:r>
    </w:p>
  </w:endnote>
  <w:endnote w:type="continuationSeparator" w:id="1">
    <w:p w:rsidR="00F84612" w:rsidRDefault="00F84612" w:rsidP="000809A6">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A6" w:rsidRDefault="000809A6">
    <w:pPr>
      <w:rPr>
        <w:sz w:val="2"/>
        <w:szCs w:val="2"/>
      </w:rPr>
    </w:pPr>
    <w:r w:rsidRPr="000809A6">
      <w:pict>
        <v:shapetype id="_x0000_t202" coordsize="21600,21600" o:spt="202" path="m,l,21600r21600,l21600,xe">
          <v:stroke joinstyle="miter"/>
          <v:path gradientshapeok="t" o:connecttype="rect"/>
        </v:shapetype>
        <v:shape id="_x0000_s1028" type="#_x0000_t202" style="position:absolute;margin-left:318.1pt;margin-top:734.5pt;width:4.1pt;height:6.95pt;z-index:-188744062;mso-wrap-style:none;mso-wrap-distance-left:5pt;mso-wrap-distance-right:5pt;mso-position-horizontal-relative:page;mso-position-vertical-relative:page" wrapcoords="0 0" filled="f" stroked="f">
          <v:textbox style="mso-next-textbox:#_x0000_s1028;mso-fit-shape-to-text:t" inset="0,0,0,0">
            <w:txbxContent>
              <w:p w:rsidR="000809A6" w:rsidRDefault="000809A6">
                <w:pPr>
                  <w:pStyle w:val="Headerorfooter0"/>
                  <w:shd w:val="clear" w:color="auto" w:fill="auto"/>
                  <w:spacing w:line="240" w:lineRule="auto"/>
                </w:pPr>
                <w:fldSimple w:instr=" PAGE \* MERGEFORMAT ">
                  <w:r w:rsidR="00592DEA" w:rsidRPr="00592DEA">
                    <w:rPr>
                      <w:rStyle w:val="Headerorfooter1"/>
                      <w:b/>
                      <w:bCs/>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A6" w:rsidRDefault="000809A6">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A6" w:rsidRDefault="000809A6">
    <w:pPr>
      <w:rPr>
        <w:sz w:val="2"/>
        <w:szCs w:val="2"/>
      </w:rPr>
    </w:pPr>
    <w:r w:rsidRPr="000809A6">
      <w:pict>
        <v:shapetype id="_x0000_t202" coordsize="21600,21600" o:spt="202" path="m,l,21600r21600,l21600,xe">
          <v:stroke joinstyle="miter"/>
          <v:path gradientshapeok="t" o:connecttype="rect"/>
        </v:shapetype>
        <v:shape id="_x0000_s1034" type="#_x0000_t202" style="position:absolute;margin-left:321pt;margin-top:734.65pt;width:4.8pt;height:6.95pt;z-index:-188744059;mso-wrap-style:none;mso-wrap-distance-left:5pt;mso-wrap-distance-right:5pt;mso-position-horizontal-relative:page;mso-position-vertical-relative:page" wrapcoords="0 0" filled="f" stroked="f">
          <v:textbox style="mso-fit-shape-to-text:t" inset="0,0,0,0">
            <w:txbxContent>
              <w:p w:rsidR="000809A6" w:rsidRDefault="000809A6">
                <w:pPr>
                  <w:pStyle w:val="Headerorfooter0"/>
                  <w:shd w:val="clear" w:color="auto" w:fill="auto"/>
                  <w:spacing w:line="240" w:lineRule="auto"/>
                </w:pPr>
                <w:fldSimple w:instr=" PAGE \* MERGEFORMAT ">
                  <w:r w:rsidR="00F84612">
                    <w:rPr>
                      <w:rStyle w:val="Headerorfooter1"/>
                      <w:b/>
                      <w:bCs/>
                    </w:rPr>
                    <w:t>#</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A6" w:rsidRDefault="000809A6">
    <w:pPr>
      <w:rPr>
        <w:sz w:val="2"/>
        <w:szCs w:val="2"/>
      </w:rPr>
    </w:pPr>
    <w:r w:rsidRPr="000809A6">
      <w:pict>
        <v:shapetype id="_x0000_t202" coordsize="21600,21600" o:spt="202" path="m,l,21600r21600,l21600,xe">
          <v:stroke joinstyle="miter"/>
          <v:path gradientshapeok="t" o:connecttype="rect"/>
        </v:shapetype>
        <v:shape id="_x0000_s1035" type="#_x0000_t202" style="position:absolute;margin-left:58.1pt;margin-top:666.8pt;width:15.6pt;height:6.95pt;z-index:-188744058;mso-wrap-style:none;mso-wrap-distance-left:5pt;mso-wrap-distance-right:5pt;mso-position-horizontal-relative:page;mso-position-vertical-relative:page" wrapcoords="0 0" filled="f" stroked="f">
          <v:textbox style="mso-fit-shape-to-text:t" inset="0,0,0,0">
            <w:txbxContent>
              <w:p w:rsidR="000809A6" w:rsidRDefault="00F84612">
                <w:pPr>
                  <w:pStyle w:val="Headerorfooter0"/>
                  <w:shd w:val="clear" w:color="auto" w:fill="auto"/>
                  <w:spacing w:line="240" w:lineRule="auto"/>
                </w:pPr>
                <w:r>
                  <w:rPr>
                    <w:rStyle w:val="Headerorfooter1"/>
                    <w:b/>
                    <w:bCs/>
                  </w:rPr>
                  <w:t>345</w:t>
                </w:r>
              </w:p>
            </w:txbxContent>
          </v:textbox>
          <w10:wrap anchorx="page" anchory="page"/>
        </v:shape>
      </w:pict>
    </w:r>
    <w:r w:rsidRPr="000809A6">
      <w:pict>
        <v:shape id="_x0000_s1036" type="#_x0000_t202" style="position:absolute;margin-left:313.45pt;margin-top:770pt;width:9.6pt;height:6.95pt;z-index:-188744057;mso-wrap-style:none;mso-wrap-distance-left:5pt;mso-wrap-distance-right:5pt;mso-position-horizontal-relative:page;mso-position-vertical-relative:page" wrapcoords="0 0" filled="f" stroked="f">
          <v:textbox style="mso-fit-shape-to-text:t" inset="0,0,0,0">
            <w:txbxContent>
              <w:p w:rsidR="000809A6" w:rsidRDefault="000809A6">
                <w:pPr>
                  <w:pStyle w:val="Headerorfooter0"/>
                  <w:shd w:val="clear" w:color="auto" w:fill="auto"/>
                  <w:spacing w:line="240" w:lineRule="auto"/>
                </w:pPr>
                <w:fldSimple w:instr=" PAGE \* MERGEFORMAT ">
                  <w:r w:rsidR="0003353C" w:rsidRPr="0003353C">
                    <w:rPr>
                      <w:rStyle w:val="Headerorfooter1"/>
                      <w:b/>
                      <w:bCs/>
                      <w:noProof/>
                    </w:rPr>
                    <w:t>11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A6" w:rsidRDefault="000809A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612" w:rsidRDefault="00F84612"/>
  </w:footnote>
  <w:footnote w:type="continuationSeparator" w:id="1">
    <w:p w:rsidR="00F84612" w:rsidRDefault="00F846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A6" w:rsidRDefault="000809A6">
    <w:pPr>
      <w:rPr>
        <w:sz w:val="2"/>
        <w:szCs w:val="2"/>
      </w:rPr>
    </w:pPr>
    <w:r w:rsidRPr="000809A6">
      <w:pict>
        <v:shapetype id="_x0000_t202" coordsize="21600,21600" o:spt="202" path="m,l,21600r21600,l21600,xe">
          <v:stroke joinstyle="miter"/>
          <v:path gradientshapeok="t" o:connecttype="rect"/>
        </v:shapetype>
        <v:shape id="_x0000_s1027" type="#_x0000_t202" style="position:absolute;margin-left:71.15pt;margin-top:51.95pt;width:4.3pt;height:6.95pt;z-index:-188744063;mso-wrap-style:none;mso-wrap-distance-left:5pt;mso-wrap-distance-right:5pt;mso-position-horizontal-relative:page;mso-position-vertical-relative:page" wrapcoords="0 0" filled="f" stroked="f">
          <v:textbox style="mso-next-textbox:#_x0000_s1027;mso-fit-shape-to-text:t" inset="0,0,0,0">
            <w:txbxContent>
              <w:p w:rsidR="000809A6" w:rsidRDefault="00F84612">
                <w:pPr>
                  <w:pStyle w:val="Headerorfooter0"/>
                  <w:shd w:val="clear" w:color="auto" w:fill="auto"/>
                  <w:spacing w:line="240" w:lineRule="auto"/>
                </w:pPr>
                <w:r>
                  <w:rPr>
                    <w:rStyle w:val="Headerorfooter1"/>
                    <w:b/>
                    <w:bCs/>
                  </w:rPr>
                  <w:t>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A6" w:rsidRDefault="000809A6">
    <w:pPr>
      <w:rPr>
        <w:sz w:val="2"/>
        <w:szCs w:val="2"/>
      </w:rPr>
    </w:pPr>
    <w:r w:rsidRPr="000809A6">
      <w:pict>
        <v:shapetype id="_x0000_t202" coordsize="21600,21600" o:spt="202" path="m,l,21600r21600,l21600,xe">
          <v:stroke joinstyle="miter"/>
          <v:path gradientshapeok="t" o:connecttype="rect"/>
        </v:shapetype>
        <v:shape id="_x0000_s1033" type="#_x0000_t202" style="position:absolute;margin-left:111.5pt;margin-top:50.4pt;width:422.9pt;height:9.6pt;z-index:-188744060;mso-wrap-style:none;mso-wrap-distance-left:5pt;mso-wrap-distance-right:5pt;mso-position-horizontal-relative:page;mso-position-vertical-relative:page" wrapcoords="0 0" filled="f" stroked="f">
          <v:textbox style="mso-fit-shape-to-text:t" inset="0,0,0,0">
            <w:txbxContent>
              <w:p w:rsidR="000809A6" w:rsidRDefault="00F84612">
                <w:pPr>
                  <w:pStyle w:val="Headerorfooter0"/>
                  <w:shd w:val="clear" w:color="auto" w:fill="auto"/>
                  <w:spacing w:line="240" w:lineRule="auto"/>
                </w:pPr>
                <w:r>
                  <w:rPr>
                    <w:rStyle w:val="Headerorfooter2"/>
                    <w:b/>
                    <w:bCs/>
                  </w:rPr>
                  <w:t>but its probative value varies greatly and may be very small or</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A6" w:rsidRDefault="000809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4C5"/>
    <w:multiLevelType w:val="multilevel"/>
    <w:tmpl w:val="6C3A7E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77116"/>
    <w:multiLevelType w:val="multilevel"/>
    <w:tmpl w:val="35D22E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0809A6"/>
    <w:rsid w:val="0003353C"/>
    <w:rsid w:val="000809A6"/>
    <w:rsid w:val="000863B6"/>
    <w:rsid w:val="002B3B81"/>
    <w:rsid w:val="005157B0"/>
    <w:rsid w:val="00592DEA"/>
    <w:rsid w:val="00C76C51"/>
    <w:rsid w:val="00EE2113"/>
    <w:rsid w:val="00F84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09A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09A6"/>
    <w:rPr>
      <w:color w:val="0066CC"/>
      <w:u w:val="single"/>
    </w:rPr>
  </w:style>
  <w:style w:type="character" w:customStyle="1" w:styleId="Bodytext">
    <w:name w:val="Body text_"/>
    <w:basedOn w:val="DefaultParagraphFont"/>
    <w:link w:val="Bodytext0"/>
    <w:rsid w:val="000809A6"/>
    <w:rPr>
      <w:rFonts w:ascii="Bookman Old Style" w:eastAsia="Bookman Old Style" w:hAnsi="Bookman Old Style" w:cs="Bookman Old Style"/>
      <w:b w:val="0"/>
      <w:bCs w:val="0"/>
      <w:i w:val="0"/>
      <w:iCs w:val="0"/>
      <w:smallCaps w:val="0"/>
      <w:strike w:val="0"/>
      <w:sz w:val="22"/>
      <w:szCs w:val="22"/>
      <w:u w:val="none"/>
    </w:rPr>
  </w:style>
  <w:style w:type="character" w:customStyle="1" w:styleId="Headerorfooter">
    <w:name w:val="Header or footer_"/>
    <w:basedOn w:val="DefaultParagraphFont"/>
    <w:link w:val="Headerorfooter0"/>
    <w:rsid w:val="000809A6"/>
    <w:rPr>
      <w:rFonts w:ascii="Bookman Old Style" w:eastAsia="Bookman Old Style" w:hAnsi="Bookman Old Style" w:cs="Bookman Old Style"/>
      <w:b/>
      <w:bCs/>
      <w:i w:val="0"/>
      <w:iCs w:val="0"/>
      <w:smallCaps w:val="0"/>
      <w:strike w:val="0"/>
      <w:sz w:val="22"/>
      <w:szCs w:val="22"/>
      <w:u w:val="none"/>
    </w:rPr>
  </w:style>
  <w:style w:type="character" w:customStyle="1" w:styleId="Headerorfooter1">
    <w:name w:val="Header or footer"/>
    <w:basedOn w:val="Headerorfooter"/>
    <w:rsid w:val="000809A6"/>
    <w:rPr>
      <w:color w:val="000000"/>
      <w:spacing w:val="0"/>
      <w:w w:val="100"/>
      <w:position w:val="0"/>
      <w:lang w:val="en-US"/>
    </w:rPr>
  </w:style>
  <w:style w:type="character" w:customStyle="1" w:styleId="Bodytext2">
    <w:name w:val="Body text (2)_"/>
    <w:basedOn w:val="DefaultParagraphFont"/>
    <w:link w:val="Bodytext20"/>
    <w:rsid w:val="000809A6"/>
    <w:rPr>
      <w:rFonts w:ascii="Bookman Old Style" w:eastAsia="Bookman Old Style" w:hAnsi="Bookman Old Style" w:cs="Bookman Old Style"/>
      <w:b w:val="0"/>
      <w:bCs w:val="0"/>
      <w:i/>
      <w:iCs/>
      <w:smallCaps w:val="0"/>
      <w:strike w:val="0"/>
      <w:sz w:val="23"/>
      <w:szCs w:val="23"/>
      <w:u w:val="none"/>
    </w:rPr>
  </w:style>
  <w:style w:type="character" w:customStyle="1" w:styleId="Bodytext2145pt">
    <w:name w:val="Body text (2) + 14.5 pt"/>
    <w:aliases w:val="Bold,Not Italic"/>
    <w:basedOn w:val="Bodytext2"/>
    <w:rsid w:val="000809A6"/>
    <w:rPr>
      <w:b/>
      <w:bCs/>
      <w:i/>
      <w:iCs/>
      <w:color w:val="000000"/>
      <w:spacing w:val="0"/>
      <w:w w:val="100"/>
      <w:position w:val="0"/>
      <w:sz w:val="29"/>
      <w:szCs w:val="29"/>
      <w:lang w:val="en-US"/>
    </w:rPr>
  </w:style>
  <w:style w:type="character" w:customStyle="1" w:styleId="Bodytext1">
    <w:name w:val="Body text"/>
    <w:basedOn w:val="Bodytext"/>
    <w:rsid w:val="000809A6"/>
    <w:rPr>
      <w:color w:val="000000"/>
      <w:spacing w:val="0"/>
      <w:w w:val="100"/>
      <w:position w:val="0"/>
      <w:u w:val="single"/>
      <w:lang w:val="en-US"/>
    </w:rPr>
  </w:style>
  <w:style w:type="character" w:customStyle="1" w:styleId="BodytextExact">
    <w:name w:val="Body text Exact"/>
    <w:basedOn w:val="DefaultParagraphFont"/>
    <w:rsid w:val="000809A6"/>
    <w:rPr>
      <w:rFonts w:ascii="Bookman Old Style" w:eastAsia="Bookman Old Style" w:hAnsi="Bookman Old Style" w:cs="Bookman Old Style"/>
      <w:b w:val="0"/>
      <w:bCs w:val="0"/>
      <w:i w:val="0"/>
      <w:iCs w:val="0"/>
      <w:smallCaps w:val="0"/>
      <w:strike w:val="0"/>
      <w:spacing w:val="2"/>
      <w:sz w:val="21"/>
      <w:szCs w:val="21"/>
      <w:u w:val="none"/>
    </w:rPr>
  </w:style>
  <w:style w:type="character" w:customStyle="1" w:styleId="BodytextCorbel">
    <w:name w:val="Body text + Corbel"/>
    <w:aliases w:val="13 pt,Scale 75%"/>
    <w:basedOn w:val="Bodytext"/>
    <w:rsid w:val="000809A6"/>
    <w:rPr>
      <w:rFonts w:ascii="Corbel" w:eastAsia="Corbel" w:hAnsi="Corbel" w:cs="Corbel"/>
      <w:color w:val="000000"/>
      <w:spacing w:val="0"/>
      <w:w w:val="75"/>
      <w:position w:val="0"/>
      <w:sz w:val="26"/>
      <w:szCs w:val="26"/>
      <w:lang w:val="en-US"/>
    </w:rPr>
  </w:style>
  <w:style w:type="character" w:customStyle="1" w:styleId="Headerorfooter2">
    <w:name w:val="Header or footer"/>
    <w:basedOn w:val="Headerorfooter"/>
    <w:rsid w:val="000809A6"/>
    <w:rPr>
      <w:color w:val="000000"/>
      <w:spacing w:val="0"/>
      <w:w w:val="100"/>
      <w:position w:val="0"/>
      <w:u w:val="single"/>
      <w:lang w:val="en-US"/>
    </w:rPr>
  </w:style>
  <w:style w:type="paragraph" w:customStyle="1" w:styleId="Bodytext0">
    <w:name w:val="Body text"/>
    <w:basedOn w:val="Normal"/>
    <w:link w:val="Bodytext"/>
    <w:rsid w:val="000809A6"/>
    <w:pPr>
      <w:shd w:val="clear" w:color="auto" w:fill="FFFFFF"/>
      <w:spacing w:after="480" w:line="523" w:lineRule="exact"/>
      <w:ind w:hanging="980"/>
      <w:jc w:val="center"/>
    </w:pPr>
    <w:rPr>
      <w:rFonts w:ascii="Bookman Old Style" w:eastAsia="Bookman Old Style" w:hAnsi="Bookman Old Style" w:cs="Bookman Old Style"/>
      <w:sz w:val="22"/>
      <w:szCs w:val="22"/>
    </w:rPr>
  </w:style>
  <w:style w:type="paragraph" w:customStyle="1" w:styleId="Headerorfooter0">
    <w:name w:val="Header or footer"/>
    <w:basedOn w:val="Normal"/>
    <w:link w:val="Headerorfooter"/>
    <w:rsid w:val="000809A6"/>
    <w:pPr>
      <w:shd w:val="clear" w:color="auto" w:fill="FFFFFF"/>
      <w:spacing w:line="0" w:lineRule="atLeast"/>
    </w:pPr>
    <w:rPr>
      <w:rFonts w:ascii="Bookman Old Style" w:eastAsia="Bookman Old Style" w:hAnsi="Bookman Old Style" w:cs="Bookman Old Style"/>
      <w:b/>
      <w:bCs/>
      <w:sz w:val="22"/>
      <w:szCs w:val="22"/>
    </w:rPr>
  </w:style>
  <w:style w:type="paragraph" w:customStyle="1" w:styleId="Bodytext20">
    <w:name w:val="Body text (2)"/>
    <w:basedOn w:val="Normal"/>
    <w:link w:val="Bodytext2"/>
    <w:rsid w:val="000809A6"/>
    <w:pPr>
      <w:shd w:val="clear" w:color="auto" w:fill="FFFFFF"/>
      <w:spacing w:before="300" w:after="660" w:line="326" w:lineRule="exact"/>
    </w:pPr>
    <w:rPr>
      <w:rFonts w:ascii="Bookman Old Style" w:eastAsia="Bookman Old Style" w:hAnsi="Bookman Old Style" w:cs="Bookman Old Style"/>
      <w:i/>
      <w:iCs/>
      <w:sz w:val="23"/>
      <w:szCs w:val="23"/>
    </w:rPr>
  </w:style>
  <w:style w:type="paragraph" w:styleId="Header">
    <w:name w:val="header"/>
    <w:basedOn w:val="Normal"/>
    <w:link w:val="HeaderChar"/>
    <w:uiPriority w:val="99"/>
    <w:semiHidden/>
    <w:unhideWhenUsed/>
    <w:rsid w:val="000863B6"/>
    <w:pPr>
      <w:tabs>
        <w:tab w:val="center" w:pos="4680"/>
        <w:tab w:val="right" w:pos="9360"/>
      </w:tabs>
    </w:pPr>
  </w:style>
  <w:style w:type="character" w:customStyle="1" w:styleId="HeaderChar">
    <w:name w:val="Header Char"/>
    <w:basedOn w:val="DefaultParagraphFont"/>
    <w:link w:val="Header"/>
    <w:uiPriority w:val="99"/>
    <w:semiHidden/>
    <w:rsid w:val="000863B6"/>
    <w:rPr>
      <w:color w:val="000000"/>
    </w:rPr>
  </w:style>
  <w:style w:type="paragraph" w:styleId="Footer">
    <w:name w:val="footer"/>
    <w:basedOn w:val="Normal"/>
    <w:link w:val="FooterChar"/>
    <w:uiPriority w:val="99"/>
    <w:semiHidden/>
    <w:unhideWhenUsed/>
    <w:rsid w:val="000863B6"/>
    <w:pPr>
      <w:tabs>
        <w:tab w:val="center" w:pos="4680"/>
        <w:tab w:val="right" w:pos="9360"/>
      </w:tabs>
    </w:pPr>
  </w:style>
  <w:style w:type="character" w:customStyle="1" w:styleId="FooterChar">
    <w:name w:val="Footer Char"/>
    <w:basedOn w:val="DefaultParagraphFont"/>
    <w:link w:val="Footer"/>
    <w:uiPriority w:val="99"/>
    <w:semiHidden/>
    <w:rsid w:val="000863B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6</cp:revision>
  <dcterms:created xsi:type="dcterms:W3CDTF">2018-01-12T13:35:00Z</dcterms:created>
  <dcterms:modified xsi:type="dcterms:W3CDTF">2018-01-12T13:50:00Z</dcterms:modified>
</cp:coreProperties>
</file>