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98" w:rsidRDefault="00655098" w:rsidP="00655098">
      <w:pPr>
        <w:jc w:val="center"/>
        <w:rPr>
          <w:rFonts w:ascii="Constantia" w:hAnsi="Constantia"/>
          <w:b/>
          <w:sz w:val="28"/>
          <w:szCs w:val="28"/>
          <w:u w:val="single"/>
        </w:rPr>
      </w:pPr>
      <w:r>
        <w:rPr>
          <w:rFonts w:ascii="Constantia" w:hAnsi="Constantia"/>
          <w:b/>
          <w:sz w:val="28"/>
          <w:szCs w:val="28"/>
          <w:u w:val="single"/>
        </w:rPr>
        <w:t>THE REPUBLIC OF UGANDA</w:t>
      </w:r>
    </w:p>
    <w:p w:rsidR="00655098" w:rsidRDefault="00655098" w:rsidP="00655098">
      <w:pPr>
        <w:jc w:val="center"/>
        <w:rPr>
          <w:rFonts w:ascii="Constantia" w:hAnsi="Constantia"/>
          <w:b/>
          <w:sz w:val="28"/>
          <w:szCs w:val="28"/>
          <w:u w:val="single"/>
        </w:rPr>
      </w:pPr>
      <w:r>
        <w:rPr>
          <w:rFonts w:ascii="Constantia" w:hAnsi="Constantia"/>
          <w:b/>
          <w:sz w:val="28"/>
          <w:szCs w:val="28"/>
          <w:u w:val="single"/>
        </w:rPr>
        <w:t xml:space="preserve">IN THE HIGH COURT OF UGANDA AT </w:t>
      </w:r>
      <w:r w:rsidR="00123661">
        <w:rPr>
          <w:rFonts w:ascii="Constantia" w:hAnsi="Constantia"/>
          <w:b/>
          <w:sz w:val="28"/>
          <w:szCs w:val="28"/>
          <w:u w:val="single"/>
        </w:rPr>
        <w:t>KAMPALA</w:t>
      </w:r>
    </w:p>
    <w:p w:rsidR="00655098" w:rsidRPr="009C701F" w:rsidRDefault="00655098" w:rsidP="00655098">
      <w:pPr>
        <w:pStyle w:val="NormalWeb"/>
        <w:jc w:val="center"/>
        <w:rPr>
          <w:rFonts w:ascii="Constantia" w:hAnsi="Constantia"/>
          <w:b/>
          <w:bCs/>
          <w:sz w:val="28"/>
          <w:szCs w:val="28"/>
        </w:rPr>
      </w:pPr>
      <w:r w:rsidRPr="00D32573">
        <w:rPr>
          <w:rFonts w:ascii="Constantia" w:hAnsi="Constantia"/>
          <w:b/>
          <w:bCs/>
          <w:sz w:val="28"/>
          <w:szCs w:val="28"/>
        </w:rPr>
        <w:t>HCT-00-CR-SC-0</w:t>
      </w:r>
      <w:r w:rsidR="00D05C13">
        <w:rPr>
          <w:rFonts w:ascii="Constantia" w:hAnsi="Constantia"/>
          <w:b/>
          <w:bCs/>
          <w:sz w:val="28"/>
          <w:szCs w:val="28"/>
        </w:rPr>
        <w:t>301</w:t>
      </w:r>
      <w:r w:rsidRPr="00D32573">
        <w:rPr>
          <w:rFonts w:ascii="Constantia" w:hAnsi="Constantia"/>
          <w:b/>
          <w:bCs/>
          <w:sz w:val="28"/>
          <w:szCs w:val="28"/>
        </w:rPr>
        <w:t xml:space="preserve"> OF 201</w:t>
      </w:r>
      <w:r>
        <w:rPr>
          <w:rFonts w:ascii="Constantia" w:hAnsi="Constantia"/>
          <w:b/>
          <w:bCs/>
          <w:sz w:val="28"/>
          <w:szCs w:val="28"/>
        </w:rPr>
        <w:t>0</w:t>
      </w:r>
    </w:p>
    <w:p w:rsidR="00655098" w:rsidRDefault="00655098" w:rsidP="00655098">
      <w:pPr>
        <w:pStyle w:val="NormalWeb"/>
        <w:jc w:val="both"/>
        <w:rPr>
          <w:rFonts w:ascii="Constantia" w:hAnsi="Constantia"/>
          <w:b/>
          <w:bCs/>
          <w:sz w:val="28"/>
          <w:szCs w:val="28"/>
        </w:rPr>
      </w:pPr>
      <w:r>
        <w:br/>
      </w:r>
      <w:r>
        <w:rPr>
          <w:rFonts w:ascii="Constantia" w:hAnsi="Constantia"/>
          <w:b/>
          <w:bCs/>
          <w:sz w:val="28"/>
          <w:szCs w:val="28"/>
        </w:rPr>
        <w:t>UGANDA</w:t>
      </w:r>
      <w:r>
        <w:rPr>
          <w:rFonts w:ascii="Constantia" w:hAnsi="Constantia"/>
          <w:b/>
          <w:bCs/>
          <w:sz w:val="28"/>
          <w:szCs w:val="28"/>
        </w:rPr>
        <w:tab/>
        <w:t>.......................................................................</w:t>
      </w:r>
      <w:r>
        <w:rPr>
          <w:rFonts w:ascii="Constantia" w:hAnsi="Constantia"/>
          <w:b/>
          <w:bCs/>
          <w:sz w:val="28"/>
          <w:szCs w:val="28"/>
        </w:rPr>
        <w:tab/>
        <w:t>PROSECUTOR</w:t>
      </w:r>
    </w:p>
    <w:p w:rsidR="00655098" w:rsidRDefault="00655098" w:rsidP="00655098">
      <w:pPr>
        <w:pStyle w:val="NormalWeb"/>
        <w:jc w:val="center"/>
        <w:rPr>
          <w:rFonts w:ascii="Constantia" w:hAnsi="Constantia"/>
          <w:b/>
          <w:bCs/>
          <w:sz w:val="28"/>
          <w:szCs w:val="28"/>
        </w:rPr>
      </w:pPr>
      <w:r>
        <w:rPr>
          <w:rFonts w:ascii="Constantia" w:hAnsi="Constantia"/>
          <w:b/>
          <w:bCs/>
          <w:sz w:val="28"/>
          <w:szCs w:val="28"/>
        </w:rPr>
        <w:t>VERSUS</w:t>
      </w:r>
    </w:p>
    <w:p w:rsidR="00655098" w:rsidRPr="009C701F" w:rsidRDefault="00655098" w:rsidP="00655098">
      <w:pPr>
        <w:pStyle w:val="NormalWeb"/>
        <w:jc w:val="both"/>
        <w:rPr>
          <w:rFonts w:ascii="Constantia" w:hAnsi="Constantia"/>
          <w:sz w:val="28"/>
          <w:szCs w:val="28"/>
        </w:rPr>
      </w:pPr>
      <w:r w:rsidRPr="009C701F">
        <w:rPr>
          <w:rFonts w:ascii="Constantia" w:hAnsi="Constantia"/>
          <w:sz w:val="28"/>
          <w:szCs w:val="28"/>
        </w:rPr>
        <w:br/>
      </w:r>
      <w:r w:rsidR="00D05C13">
        <w:rPr>
          <w:rFonts w:ascii="Constantia" w:hAnsi="Constantia"/>
          <w:b/>
          <w:bCs/>
          <w:sz w:val="28"/>
          <w:szCs w:val="28"/>
        </w:rPr>
        <w:t>OCHWO LASTON</w:t>
      </w:r>
      <w:r>
        <w:rPr>
          <w:rFonts w:ascii="Constantia" w:hAnsi="Constantia"/>
          <w:b/>
          <w:bCs/>
          <w:sz w:val="28"/>
          <w:szCs w:val="28"/>
        </w:rPr>
        <w:t xml:space="preserve"> .............................................................. ACCUSED</w:t>
      </w:r>
    </w:p>
    <w:p w:rsidR="00655098" w:rsidRDefault="00655098" w:rsidP="00655098">
      <w:pPr>
        <w:jc w:val="center"/>
        <w:rPr>
          <w:rFonts w:ascii="Constantia" w:hAnsi="Constantia"/>
          <w:b/>
          <w:bCs/>
          <w:sz w:val="28"/>
          <w:szCs w:val="28"/>
        </w:rPr>
      </w:pPr>
    </w:p>
    <w:p w:rsidR="00655098" w:rsidRPr="00D86901" w:rsidRDefault="00655098" w:rsidP="00655098">
      <w:pPr>
        <w:jc w:val="center"/>
        <w:rPr>
          <w:rFonts w:ascii="Constantia" w:hAnsi="Constantia"/>
          <w:b/>
          <w:bCs/>
          <w:sz w:val="28"/>
          <w:szCs w:val="28"/>
          <w:u w:val="single"/>
        </w:rPr>
      </w:pPr>
      <w:r w:rsidRPr="00D86901">
        <w:rPr>
          <w:rFonts w:ascii="Constantia" w:hAnsi="Constantia"/>
          <w:b/>
          <w:bCs/>
          <w:sz w:val="28"/>
          <w:szCs w:val="28"/>
        </w:rPr>
        <w:t>B</w:t>
      </w:r>
      <w:r w:rsidR="00722CD5">
        <w:rPr>
          <w:rFonts w:ascii="Constantia" w:hAnsi="Constantia"/>
          <w:b/>
          <w:bCs/>
          <w:sz w:val="28"/>
          <w:szCs w:val="28"/>
        </w:rPr>
        <w:t>efore</w:t>
      </w:r>
      <w:r w:rsidRPr="00D86901">
        <w:rPr>
          <w:rFonts w:ascii="Constantia" w:hAnsi="Constantia"/>
          <w:b/>
          <w:bCs/>
          <w:sz w:val="28"/>
          <w:szCs w:val="28"/>
        </w:rPr>
        <w:t xml:space="preserve">: </w:t>
      </w:r>
      <w:r w:rsidRPr="00D86901">
        <w:rPr>
          <w:rFonts w:ascii="Constantia" w:hAnsi="Constantia"/>
          <w:b/>
          <w:bCs/>
          <w:sz w:val="28"/>
          <w:szCs w:val="28"/>
          <w:u w:val="single"/>
        </w:rPr>
        <w:t>H</w:t>
      </w:r>
      <w:r w:rsidR="00722CD5">
        <w:rPr>
          <w:rFonts w:ascii="Constantia" w:hAnsi="Constantia"/>
          <w:b/>
          <w:bCs/>
          <w:sz w:val="28"/>
          <w:szCs w:val="28"/>
          <w:u w:val="single"/>
        </w:rPr>
        <w:t>on</w:t>
      </w:r>
      <w:r w:rsidRPr="00D86901">
        <w:rPr>
          <w:rFonts w:ascii="Constantia" w:hAnsi="Constantia"/>
          <w:b/>
          <w:bCs/>
          <w:sz w:val="28"/>
          <w:szCs w:val="28"/>
          <w:u w:val="single"/>
        </w:rPr>
        <w:t xml:space="preserve">. </w:t>
      </w:r>
      <w:r>
        <w:rPr>
          <w:rFonts w:ascii="Constantia" w:hAnsi="Constantia"/>
          <w:b/>
          <w:bCs/>
          <w:sz w:val="28"/>
          <w:szCs w:val="28"/>
          <w:u w:val="single"/>
        </w:rPr>
        <w:t>L</w:t>
      </w:r>
      <w:r w:rsidR="00722CD5">
        <w:rPr>
          <w:rFonts w:ascii="Constantia" w:hAnsi="Constantia"/>
          <w:b/>
          <w:bCs/>
          <w:sz w:val="28"/>
          <w:szCs w:val="28"/>
          <w:u w:val="single"/>
        </w:rPr>
        <w:t xml:space="preserve">ady </w:t>
      </w:r>
      <w:r>
        <w:rPr>
          <w:rFonts w:ascii="Constantia" w:hAnsi="Constantia"/>
          <w:b/>
          <w:bCs/>
          <w:sz w:val="28"/>
          <w:szCs w:val="28"/>
          <w:u w:val="single"/>
        </w:rPr>
        <w:t>J</w:t>
      </w:r>
      <w:r w:rsidR="00722CD5">
        <w:rPr>
          <w:rFonts w:ascii="Constantia" w:hAnsi="Constantia"/>
          <w:b/>
          <w:bCs/>
          <w:sz w:val="28"/>
          <w:szCs w:val="28"/>
          <w:u w:val="single"/>
        </w:rPr>
        <w:t>ustice</w:t>
      </w:r>
      <w:r w:rsidRPr="00D86901">
        <w:rPr>
          <w:rFonts w:ascii="Constantia" w:hAnsi="Constantia"/>
          <w:b/>
          <w:bCs/>
          <w:sz w:val="28"/>
          <w:szCs w:val="28"/>
          <w:u w:val="single"/>
        </w:rPr>
        <w:t xml:space="preserve"> </w:t>
      </w:r>
      <w:r>
        <w:rPr>
          <w:rFonts w:ascii="Constantia" w:hAnsi="Constantia"/>
          <w:b/>
          <w:bCs/>
          <w:sz w:val="28"/>
          <w:szCs w:val="28"/>
          <w:u w:val="single"/>
        </w:rPr>
        <w:t>M</w:t>
      </w:r>
      <w:r w:rsidR="00722CD5">
        <w:rPr>
          <w:rFonts w:ascii="Constantia" w:hAnsi="Constantia"/>
          <w:b/>
          <w:bCs/>
          <w:sz w:val="28"/>
          <w:szCs w:val="28"/>
          <w:u w:val="single"/>
        </w:rPr>
        <w:t>onica</w:t>
      </w:r>
      <w:r w:rsidRPr="00D86901">
        <w:rPr>
          <w:rFonts w:ascii="Constantia" w:hAnsi="Constantia"/>
          <w:b/>
          <w:bCs/>
          <w:sz w:val="28"/>
          <w:szCs w:val="28"/>
          <w:u w:val="single"/>
        </w:rPr>
        <w:t xml:space="preserve"> K. M</w:t>
      </w:r>
      <w:r w:rsidR="00722CD5">
        <w:rPr>
          <w:rFonts w:ascii="Constantia" w:hAnsi="Constantia"/>
          <w:b/>
          <w:bCs/>
          <w:sz w:val="28"/>
          <w:szCs w:val="28"/>
          <w:u w:val="single"/>
        </w:rPr>
        <w:t>ugenyi</w:t>
      </w:r>
    </w:p>
    <w:p w:rsidR="00655098" w:rsidRPr="00E25603" w:rsidRDefault="00655098" w:rsidP="00655098">
      <w:pPr>
        <w:jc w:val="center"/>
        <w:rPr>
          <w:rFonts w:ascii="Constantia" w:hAnsi="Constantia"/>
          <w:b/>
          <w:sz w:val="28"/>
          <w:szCs w:val="28"/>
          <w:u w:val="single"/>
        </w:rPr>
      </w:pPr>
      <w:r w:rsidRPr="00E25603">
        <w:rPr>
          <w:rFonts w:ascii="Constantia" w:hAnsi="Constantia"/>
          <w:b/>
          <w:sz w:val="28"/>
          <w:szCs w:val="28"/>
          <w:u w:val="single"/>
        </w:rPr>
        <w:t xml:space="preserve">JUDGMENT </w:t>
      </w:r>
    </w:p>
    <w:p w:rsidR="00655098" w:rsidRPr="005912F9" w:rsidRDefault="00655098" w:rsidP="00655098">
      <w:pPr>
        <w:jc w:val="both"/>
        <w:rPr>
          <w:rFonts w:ascii="Constantia" w:hAnsi="Constantia"/>
          <w:sz w:val="28"/>
          <w:szCs w:val="28"/>
        </w:rPr>
      </w:pPr>
      <w:r w:rsidRPr="00D05C13">
        <w:rPr>
          <w:rFonts w:ascii="Constantia" w:hAnsi="Constantia"/>
          <w:sz w:val="28"/>
          <w:szCs w:val="28"/>
        </w:rPr>
        <w:t>Th</w:t>
      </w:r>
      <w:r w:rsidR="00190486">
        <w:rPr>
          <w:rFonts w:ascii="Constantia" w:hAnsi="Constantia"/>
          <w:sz w:val="28"/>
          <w:szCs w:val="28"/>
        </w:rPr>
        <w:t>e accused</w:t>
      </w:r>
      <w:r w:rsidR="00D82533">
        <w:rPr>
          <w:rFonts w:ascii="Constantia" w:hAnsi="Constantia"/>
          <w:sz w:val="28"/>
          <w:szCs w:val="28"/>
        </w:rPr>
        <w:t>, Laston Ochwo,</w:t>
      </w:r>
      <w:r w:rsidR="00190486">
        <w:rPr>
          <w:rFonts w:ascii="Constantia" w:hAnsi="Constantia"/>
          <w:sz w:val="28"/>
          <w:szCs w:val="28"/>
        </w:rPr>
        <w:t xml:space="preserve"> was indicted for the offence of agg</w:t>
      </w:r>
      <w:r w:rsidRPr="00D05C13">
        <w:rPr>
          <w:rFonts w:ascii="Constantia" w:hAnsi="Constantia"/>
          <w:sz w:val="28"/>
          <w:szCs w:val="28"/>
        </w:rPr>
        <w:t xml:space="preserve">ravated </w:t>
      </w:r>
      <w:r w:rsidR="00190486">
        <w:rPr>
          <w:rFonts w:ascii="Constantia" w:hAnsi="Constantia"/>
          <w:sz w:val="28"/>
          <w:szCs w:val="28"/>
        </w:rPr>
        <w:t xml:space="preserve">defilement contrary to section 129(3) and (4)(a) of the Penal Code Act.  </w:t>
      </w:r>
      <w:r w:rsidRPr="00D05C13">
        <w:rPr>
          <w:rFonts w:ascii="Constantia" w:hAnsi="Constantia"/>
          <w:sz w:val="28"/>
          <w:szCs w:val="28"/>
        </w:rPr>
        <w:t xml:space="preserve">The brief facts </w:t>
      </w:r>
      <w:r w:rsidR="00190486">
        <w:rPr>
          <w:rFonts w:ascii="Constantia" w:hAnsi="Constantia"/>
          <w:sz w:val="28"/>
          <w:szCs w:val="28"/>
        </w:rPr>
        <w:t xml:space="preserve">giving rise to this indictment </w:t>
      </w:r>
      <w:r w:rsidRPr="00D05C13">
        <w:rPr>
          <w:rFonts w:ascii="Constantia" w:hAnsi="Constantia"/>
          <w:sz w:val="28"/>
          <w:szCs w:val="28"/>
        </w:rPr>
        <w:t xml:space="preserve">are that on </w:t>
      </w:r>
      <w:r w:rsidRPr="00123661">
        <w:rPr>
          <w:rFonts w:ascii="Constantia" w:hAnsi="Constantia"/>
          <w:sz w:val="28"/>
          <w:szCs w:val="28"/>
        </w:rPr>
        <w:t>4</w:t>
      </w:r>
      <w:r w:rsidRPr="00123661">
        <w:rPr>
          <w:rFonts w:ascii="Constantia" w:hAnsi="Constantia"/>
          <w:sz w:val="28"/>
          <w:szCs w:val="28"/>
          <w:vertAlign w:val="superscript"/>
        </w:rPr>
        <w:t>th</w:t>
      </w:r>
      <w:r w:rsidRPr="00123661">
        <w:rPr>
          <w:rFonts w:ascii="Constantia" w:hAnsi="Constantia"/>
          <w:sz w:val="28"/>
          <w:szCs w:val="28"/>
        </w:rPr>
        <w:t xml:space="preserve"> April 200</w:t>
      </w:r>
      <w:r w:rsidR="00123661">
        <w:rPr>
          <w:rFonts w:ascii="Constantia" w:hAnsi="Constantia"/>
          <w:sz w:val="28"/>
          <w:szCs w:val="28"/>
        </w:rPr>
        <w:t>9</w:t>
      </w:r>
      <w:r w:rsidRPr="00D05C13">
        <w:rPr>
          <w:rFonts w:ascii="Constantia" w:hAnsi="Constantia"/>
          <w:sz w:val="28"/>
          <w:szCs w:val="28"/>
        </w:rPr>
        <w:t xml:space="preserve"> the accused </w:t>
      </w:r>
      <w:r w:rsidR="00123661">
        <w:rPr>
          <w:rFonts w:ascii="Constantia" w:hAnsi="Constantia"/>
          <w:sz w:val="28"/>
          <w:szCs w:val="28"/>
        </w:rPr>
        <w:t xml:space="preserve">allegedly </w:t>
      </w:r>
      <w:r w:rsidR="00190486">
        <w:rPr>
          <w:rFonts w:ascii="Constantia" w:hAnsi="Constantia"/>
          <w:sz w:val="28"/>
          <w:szCs w:val="28"/>
        </w:rPr>
        <w:t xml:space="preserve">performed a sexual act on </w:t>
      </w:r>
      <w:r w:rsidRPr="00D05C13">
        <w:rPr>
          <w:rFonts w:ascii="Constantia" w:hAnsi="Constantia"/>
          <w:sz w:val="28"/>
          <w:szCs w:val="28"/>
        </w:rPr>
        <w:t>a one N</w:t>
      </w:r>
      <w:r w:rsidR="00D05C13">
        <w:rPr>
          <w:rFonts w:ascii="Constantia" w:hAnsi="Constantia"/>
          <w:sz w:val="28"/>
          <w:szCs w:val="28"/>
        </w:rPr>
        <w:t>yakecho Agnes</w:t>
      </w:r>
      <w:r w:rsidRPr="00D05C13">
        <w:rPr>
          <w:rFonts w:ascii="Constantia" w:hAnsi="Constantia"/>
          <w:sz w:val="28"/>
          <w:szCs w:val="28"/>
        </w:rPr>
        <w:t xml:space="preserve">, a girl </w:t>
      </w:r>
      <w:r w:rsidR="00123661">
        <w:rPr>
          <w:rFonts w:ascii="Constantia" w:hAnsi="Constantia"/>
          <w:sz w:val="28"/>
          <w:szCs w:val="28"/>
        </w:rPr>
        <w:t xml:space="preserve">below the age of 14 years </w:t>
      </w:r>
      <w:r w:rsidRPr="00D05C13">
        <w:rPr>
          <w:rFonts w:ascii="Constantia" w:hAnsi="Constantia"/>
          <w:sz w:val="28"/>
          <w:szCs w:val="28"/>
        </w:rPr>
        <w:t xml:space="preserve">at </w:t>
      </w:r>
      <w:r w:rsidRPr="00123661">
        <w:rPr>
          <w:rFonts w:ascii="Constantia" w:hAnsi="Constantia"/>
          <w:sz w:val="28"/>
          <w:szCs w:val="28"/>
        </w:rPr>
        <w:t>K</w:t>
      </w:r>
      <w:r w:rsidR="00123661">
        <w:rPr>
          <w:rFonts w:ascii="Constantia" w:hAnsi="Constantia"/>
          <w:sz w:val="28"/>
          <w:szCs w:val="28"/>
        </w:rPr>
        <w:t>igoowa</w:t>
      </w:r>
      <w:r w:rsidRPr="00123661">
        <w:rPr>
          <w:rFonts w:ascii="Constantia" w:hAnsi="Constantia"/>
          <w:sz w:val="28"/>
          <w:szCs w:val="28"/>
        </w:rPr>
        <w:t xml:space="preserve"> village, </w:t>
      </w:r>
      <w:r w:rsidR="00123661">
        <w:rPr>
          <w:rFonts w:ascii="Constantia" w:hAnsi="Constantia"/>
          <w:sz w:val="28"/>
          <w:szCs w:val="28"/>
        </w:rPr>
        <w:t>Kampala</w:t>
      </w:r>
      <w:r w:rsidRPr="00D05C13">
        <w:rPr>
          <w:rFonts w:ascii="Constantia" w:hAnsi="Constantia"/>
          <w:sz w:val="28"/>
          <w:szCs w:val="28"/>
        </w:rPr>
        <w:t xml:space="preserve"> District.  The accused denied the charges and pleaded not guilty thereto.</w:t>
      </w:r>
    </w:p>
    <w:p w:rsidR="00655098" w:rsidRDefault="00655098" w:rsidP="00D05C13">
      <w:pPr>
        <w:pStyle w:val="ListParagraph"/>
        <w:ind w:left="0"/>
        <w:jc w:val="both"/>
        <w:rPr>
          <w:rFonts w:ascii="Constantia" w:hAnsi="Constantia"/>
          <w:sz w:val="28"/>
          <w:szCs w:val="28"/>
        </w:rPr>
      </w:pPr>
      <w:r w:rsidRPr="00EC465D">
        <w:rPr>
          <w:rFonts w:ascii="Constantia" w:hAnsi="Constantia"/>
          <w:sz w:val="28"/>
          <w:szCs w:val="28"/>
        </w:rPr>
        <w:t>T</w:t>
      </w:r>
      <w:r w:rsidR="00190486">
        <w:rPr>
          <w:rFonts w:ascii="Constantia" w:hAnsi="Constantia"/>
          <w:sz w:val="28"/>
          <w:szCs w:val="28"/>
        </w:rPr>
        <w:t xml:space="preserve">he ingredients that </w:t>
      </w:r>
      <w:r w:rsidRPr="00EC465D">
        <w:rPr>
          <w:rFonts w:ascii="Constantia" w:hAnsi="Constantia"/>
          <w:sz w:val="28"/>
          <w:szCs w:val="28"/>
        </w:rPr>
        <w:t xml:space="preserve">constitute </w:t>
      </w:r>
      <w:r w:rsidR="00190486">
        <w:rPr>
          <w:rFonts w:ascii="Constantia" w:hAnsi="Constantia"/>
          <w:sz w:val="28"/>
          <w:szCs w:val="28"/>
        </w:rPr>
        <w:t xml:space="preserve">the </w:t>
      </w:r>
      <w:r w:rsidRPr="00EC465D">
        <w:rPr>
          <w:rFonts w:ascii="Constantia" w:hAnsi="Constantia"/>
          <w:sz w:val="28"/>
          <w:szCs w:val="28"/>
        </w:rPr>
        <w:t xml:space="preserve">offence </w:t>
      </w:r>
      <w:r w:rsidR="00190486">
        <w:rPr>
          <w:rFonts w:ascii="Constantia" w:hAnsi="Constantia"/>
          <w:sz w:val="28"/>
          <w:szCs w:val="28"/>
        </w:rPr>
        <w:t xml:space="preserve">in issue presently are first, the performance of a sexual act upon the alleged victim and, secondly, the victim </w:t>
      </w:r>
      <w:r w:rsidR="00530AE9">
        <w:rPr>
          <w:rFonts w:ascii="Constantia" w:hAnsi="Constantia"/>
          <w:sz w:val="28"/>
          <w:szCs w:val="28"/>
        </w:rPr>
        <w:t xml:space="preserve">should have been under 14 years old </w:t>
      </w:r>
      <w:r w:rsidR="00190486">
        <w:rPr>
          <w:rFonts w:ascii="Constantia" w:hAnsi="Constantia"/>
          <w:sz w:val="28"/>
          <w:szCs w:val="28"/>
        </w:rPr>
        <w:t xml:space="preserve">at the time.  </w:t>
      </w:r>
      <w:r>
        <w:rPr>
          <w:rFonts w:ascii="Constantia" w:hAnsi="Constantia"/>
          <w:sz w:val="28"/>
          <w:szCs w:val="28"/>
        </w:rPr>
        <w:t>It is well settled law that t</w:t>
      </w:r>
      <w:r w:rsidRPr="00EC465D">
        <w:rPr>
          <w:rFonts w:ascii="Constantia" w:hAnsi="Constantia"/>
          <w:sz w:val="28"/>
          <w:szCs w:val="28"/>
        </w:rPr>
        <w:t>he burden of proof in criminal proceedings such as the present one lies squarely with the Prosecution</w:t>
      </w:r>
      <w:r>
        <w:rPr>
          <w:rFonts w:ascii="Constantia" w:hAnsi="Constantia"/>
          <w:sz w:val="28"/>
          <w:szCs w:val="28"/>
        </w:rPr>
        <w:t xml:space="preserve"> and generally, </w:t>
      </w:r>
      <w:r w:rsidRPr="00EC465D">
        <w:rPr>
          <w:rFonts w:ascii="Constantia" w:hAnsi="Constantia"/>
          <w:sz w:val="28"/>
          <w:szCs w:val="28"/>
        </w:rPr>
        <w:t>the defences available to an accused person</w:t>
      </w:r>
      <w:r w:rsidR="00D82533">
        <w:rPr>
          <w:rFonts w:ascii="Constantia" w:hAnsi="Constantia"/>
          <w:sz w:val="28"/>
          <w:szCs w:val="28"/>
        </w:rPr>
        <w:t xml:space="preserve"> notwithstanding</w:t>
      </w:r>
      <w:r w:rsidRPr="00EC465D">
        <w:rPr>
          <w:rFonts w:ascii="Constantia" w:hAnsi="Constantia"/>
          <w:sz w:val="28"/>
          <w:szCs w:val="28"/>
        </w:rPr>
        <w:t xml:space="preserve">, </w:t>
      </w:r>
      <w:r>
        <w:rPr>
          <w:rFonts w:ascii="Constantia" w:hAnsi="Constantia"/>
          <w:sz w:val="28"/>
          <w:szCs w:val="28"/>
        </w:rPr>
        <w:t>that burden does not shift to the accused at any stage of the proceedings</w:t>
      </w:r>
      <w:r w:rsidRPr="00EC465D">
        <w:rPr>
          <w:rFonts w:ascii="Constantia" w:hAnsi="Constantia"/>
          <w:sz w:val="28"/>
          <w:szCs w:val="28"/>
        </w:rPr>
        <w:t xml:space="preserve">.  </w:t>
      </w:r>
      <w:r>
        <w:rPr>
          <w:rFonts w:ascii="Constantia" w:hAnsi="Constantia"/>
          <w:sz w:val="28"/>
          <w:szCs w:val="28"/>
        </w:rPr>
        <w:t xml:space="preserve">Furthermore, the prosecution is required to prove all the ingredients of the </w:t>
      </w:r>
      <w:r w:rsidR="00190486">
        <w:rPr>
          <w:rFonts w:ascii="Constantia" w:hAnsi="Constantia"/>
          <w:sz w:val="28"/>
          <w:szCs w:val="28"/>
        </w:rPr>
        <w:t xml:space="preserve">alleged </w:t>
      </w:r>
      <w:r>
        <w:rPr>
          <w:rFonts w:ascii="Constantia" w:hAnsi="Constantia"/>
          <w:sz w:val="28"/>
          <w:szCs w:val="28"/>
        </w:rPr>
        <w:t xml:space="preserve">offence, as well as the accused’s participation </w:t>
      </w:r>
      <w:r w:rsidR="00190486">
        <w:rPr>
          <w:rFonts w:ascii="Constantia" w:hAnsi="Constantia"/>
          <w:sz w:val="28"/>
          <w:szCs w:val="28"/>
        </w:rPr>
        <w:t xml:space="preserve">therein </w:t>
      </w:r>
      <w:r w:rsidRPr="007858A3">
        <w:rPr>
          <w:rFonts w:ascii="Constantia" w:hAnsi="Constantia"/>
          <w:sz w:val="28"/>
          <w:szCs w:val="28"/>
        </w:rPr>
        <w:t xml:space="preserve">beyond reasonable doubt.  </w:t>
      </w:r>
      <w:r>
        <w:rPr>
          <w:rFonts w:ascii="Constantia" w:hAnsi="Constantia"/>
          <w:sz w:val="28"/>
          <w:szCs w:val="28"/>
        </w:rPr>
        <w:t xml:space="preserve">See </w:t>
      </w:r>
      <w:r w:rsidRPr="00C704C7">
        <w:rPr>
          <w:rFonts w:ascii="Constantia" w:hAnsi="Constantia"/>
          <w:b/>
          <w:sz w:val="28"/>
          <w:szCs w:val="28"/>
          <w:u w:val="single"/>
        </w:rPr>
        <w:t xml:space="preserve">Woolmington vs. DPP </w:t>
      </w:r>
      <w:r w:rsidRPr="00C704C7">
        <w:rPr>
          <w:rFonts w:ascii="Constantia" w:hAnsi="Constantia"/>
          <w:b/>
          <w:sz w:val="28"/>
          <w:szCs w:val="28"/>
          <w:u w:val="single"/>
        </w:rPr>
        <w:lastRenderedPageBreak/>
        <w:t>(1993) AC 462</w:t>
      </w:r>
      <w:r>
        <w:rPr>
          <w:rFonts w:ascii="Constantia" w:hAnsi="Constantia"/>
          <w:b/>
          <w:sz w:val="28"/>
          <w:szCs w:val="28"/>
          <w:u w:val="single"/>
        </w:rPr>
        <w:t>,</w:t>
      </w:r>
      <w:r>
        <w:rPr>
          <w:rFonts w:ascii="Constantia" w:hAnsi="Constantia"/>
          <w:sz w:val="28"/>
          <w:szCs w:val="28"/>
        </w:rPr>
        <w:t xml:space="preserve"> </w:t>
      </w:r>
      <w:r w:rsidRPr="00C704C7">
        <w:rPr>
          <w:rFonts w:ascii="Constantia" w:hAnsi="Constantia"/>
          <w:b/>
          <w:sz w:val="28"/>
          <w:szCs w:val="28"/>
          <w:u w:val="single"/>
        </w:rPr>
        <w:t>Okale vs. Republic (1965) EA 55</w:t>
      </w:r>
      <w:r>
        <w:rPr>
          <w:rFonts w:ascii="Constantia" w:hAnsi="Constantia"/>
          <w:sz w:val="28"/>
          <w:szCs w:val="28"/>
        </w:rPr>
        <w:t xml:space="preserve"> and </w:t>
      </w:r>
      <w:r w:rsidRPr="001F400D">
        <w:rPr>
          <w:rFonts w:ascii="Constantia" w:hAnsi="Constantia"/>
          <w:b/>
          <w:sz w:val="28"/>
          <w:szCs w:val="28"/>
          <w:u w:val="single"/>
        </w:rPr>
        <w:t xml:space="preserve">Miller vs. Minister of Pensions </w:t>
      </w:r>
      <w:r w:rsidRPr="001F400D">
        <w:rPr>
          <w:rFonts w:ascii="Constantia" w:eastAsia="Times New Roman" w:hAnsi="Constantia"/>
          <w:b/>
          <w:bCs/>
          <w:iCs/>
          <w:sz w:val="28"/>
          <w:szCs w:val="28"/>
          <w:u w:val="single"/>
          <w:lang w:eastAsia="en-CA"/>
        </w:rPr>
        <w:t>[1947] 2 All ER 372 at 373</w:t>
      </w:r>
      <w:r w:rsidRPr="00A97357">
        <w:rPr>
          <w:rFonts w:ascii="Constantia" w:eastAsia="Times New Roman" w:hAnsi="Constantia"/>
          <w:bCs/>
          <w:iCs/>
          <w:sz w:val="28"/>
          <w:szCs w:val="28"/>
          <w:lang w:eastAsia="en-CA"/>
        </w:rPr>
        <w:t>.</w:t>
      </w:r>
      <w:r>
        <w:rPr>
          <w:rFonts w:ascii="Constantia" w:hAnsi="Constantia"/>
          <w:sz w:val="28"/>
          <w:szCs w:val="28"/>
        </w:rPr>
        <w:t xml:space="preserve">  </w:t>
      </w:r>
    </w:p>
    <w:p w:rsidR="007A5FFB" w:rsidRPr="007858A3" w:rsidRDefault="007A5FFB" w:rsidP="00D05C13">
      <w:pPr>
        <w:pStyle w:val="ListParagraph"/>
        <w:ind w:left="0"/>
        <w:jc w:val="both"/>
        <w:rPr>
          <w:rFonts w:ascii="Constantia" w:hAnsi="Constantia"/>
          <w:sz w:val="28"/>
          <w:szCs w:val="28"/>
        </w:rPr>
      </w:pPr>
    </w:p>
    <w:p w:rsidR="00983C6F" w:rsidRDefault="00655098" w:rsidP="00A60224">
      <w:pPr>
        <w:pStyle w:val="ListParagraph"/>
        <w:ind w:left="0"/>
        <w:jc w:val="both"/>
        <w:rPr>
          <w:rFonts w:ascii="Constantia" w:hAnsi="Constantia"/>
          <w:sz w:val="28"/>
          <w:szCs w:val="28"/>
        </w:rPr>
      </w:pPr>
      <w:r w:rsidRPr="00EC465D">
        <w:rPr>
          <w:rFonts w:ascii="Constantia" w:hAnsi="Constantia"/>
          <w:sz w:val="28"/>
          <w:szCs w:val="28"/>
        </w:rPr>
        <w:t>I</w:t>
      </w:r>
      <w:r>
        <w:rPr>
          <w:rFonts w:ascii="Constantia" w:hAnsi="Constantia"/>
          <w:sz w:val="28"/>
          <w:szCs w:val="28"/>
        </w:rPr>
        <w:t>n the present case Police Forms 3 and 24 were</w:t>
      </w:r>
      <w:r w:rsidRPr="00EC465D">
        <w:rPr>
          <w:rFonts w:ascii="Constantia" w:hAnsi="Constantia"/>
          <w:sz w:val="28"/>
          <w:szCs w:val="28"/>
        </w:rPr>
        <w:t xml:space="preserve"> admitted in evidence </w:t>
      </w:r>
      <w:r>
        <w:rPr>
          <w:rFonts w:ascii="Constantia" w:hAnsi="Constantia"/>
          <w:sz w:val="28"/>
          <w:szCs w:val="28"/>
        </w:rPr>
        <w:t xml:space="preserve">as Exh. P1 and P2 respectively pursuant to a </w:t>
      </w:r>
      <w:r w:rsidRPr="00EC465D">
        <w:rPr>
          <w:rFonts w:ascii="Constantia" w:hAnsi="Constantia"/>
          <w:sz w:val="28"/>
          <w:szCs w:val="28"/>
        </w:rPr>
        <w:t xml:space="preserve">Memorandum of Agreed Facts </w:t>
      </w:r>
      <w:r w:rsidRPr="00D32573">
        <w:rPr>
          <w:rFonts w:ascii="Constantia" w:hAnsi="Constantia"/>
          <w:sz w:val="28"/>
          <w:szCs w:val="28"/>
        </w:rPr>
        <w:t>dated</w:t>
      </w:r>
      <w:r w:rsidR="00A60224">
        <w:rPr>
          <w:rFonts w:ascii="Constantia" w:hAnsi="Constantia"/>
          <w:sz w:val="28"/>
          <w:szCs w:val="28"/>
        </w:rPr>
        <w:t xml:space="preserve"> 5</w:t>
      </w:r>
      <w:r w:rsidR="00A60224">
        <w:rPr>
          <w:rFonts w:ascii="Constantia" w:hAnsi="Constantia"/>
          <w:sz w:val="28"/>
          <w:szCs w:val="28"/>
          <w:vertAlign w:val="superscript"/>
        </w:rPr>
        <w:t xml:space="preserve">th </w:t>
      </w:r>
      <w:r w:rsidR="00A60224">
        <w:rPr>
          <w:rFonts w:ascii="Constantia" w:hAnsi="Constantia"/>
          <w:sz w:val="28"/>
          <w:szCs w:val="28"/>
        </w:rPr>
        <w:t>March 2012</w:t>
      </w:r>
      <w:r>
        <w:rPr>
          <w:rFonts w:ascii="Constantia" w:hAnsi="Constantia"/>
          <w:sz w:val="28"/>
          <w:szCs w:val="28"/>
        </w:rPr>
        <w:t xml:space="preserve">.  </w:t>
      </w:r>
      <w:r w:rsidR="00637290" w:rsidRPr="00637290">
        <w:rPr>
          <w:rFonts w:ascii="Constantia" w:hAnsi="Constantia"/>
          <w:sz w:val="28"/>
          <w:szCs w:val="28"/>
        </w:rPr>
        <w:t>Exh. P1</w:t>
      </w:r>
      <w:r w:rsidR="00637290">
        <w:rPr>
          <w:rFonts w:ascii="Constantia" w:hAnsi="Constantia"/>
          <w:sz w:val="28"/>
          <w:szCs w:val="28"/>
        </w:rPr>
        <w:t xml:space="preserve"> </w:t>
      </w:r>
      <w:r w:rsidR="007A5FFB">
        <w:rPr>
          <w:rFonts w:ascii="Constantia" w:hAnsi="Constantia"/>
          <w:sz w:val="28"/>
          <w:szCs w:val="28"/>
        </w:rPr>
        <w:t xml:space="preserve">reported </w:t>
      </w:r>
      <w:r w:rsidR="00637290">
        <w:rPr>
          <w:rFonts w:ascii="Constantia" w:hAnsi="Constantia"/>
          <w:sz w:val="28"/>
          <w:szCs w:val="28"/>
        </w:rPr>
        <w:t xml:space="preserve">that </w:t>
      </w:r>
      <w:r w:rsidR="00637290" w:rsidRPr="00637290">
        <w:rPr>
          <w:rFonts w:ascii="Constantia" w:hAnsi="Constantia"/>
          <w:sz w:val="28"/>
          <w:szCs w:val="28"/>
        </w:rPr>
        <w:t>the victim was ‘less than 15 years old’ and had been subjected to a recent sexual act.</w:t>
      </w:r>
      <w:r w:rsidR="00637290">
        <w:rPr>
          <w:rFonts w:ascii="Constantia" w:hAnsi="Constantia"/>
          <w:sz w:val="24"/>
          <w:szCs w:val="24"/>
        </w:rPr>
        <w:t xml:space="preserve">  </w:t>
      </w:r>
      <w:r w:rsidR="00FC388F">
        <w:rPr>
          <w:rFonts w:ascii="Constantia" w:hAnsi="Constantia"/>
          <w:sz w:val="28"/>
          <w:szCs w:val="28"/>
        </w:rPr>
        <w:t xml:space="preserve">This admitted evidence does </w:t>
      </w:r>
      <w:r w:rsidR="007A5FFB">
        <w:rPr>
          <w:rFonts w:ascii="Constantia" w:hAnsi="Constantia"/>
          <w:sz w:val="28"/>
          <w:szCs w:val="28"/>
        </w:rPr>
        <w:t xml:space="preserve">establish </w:t>
      </w:r>
      <w:r w:rsidR="00FC388F">
        <w:rPr>
          <w:rFonts w:ascii="Constantia" w:hAnsi="Constantia"/>
          <w:sz w:val="28"/>
          <w:szCs w:val="28"/>
        </w:rPr>
        <w:t xml:space="preserve">the </w:t>
      </w:r>
      <w:r w:rsidR="007A5FFB">
        <w:rPr>
          <w:rFonts w:ascii="Constantia" w:hAnsi="Constantia"/>
          <w:sz w:val="28"/>
          <w:szCs w:val="28"/>
        </w:rPr>
        <w:t xml:space="preserve">fact that a sexual act was </w:t>
      </w:r>
      <w:r w:rsidR="00FC388F">
        <w:rPr>
          <w:rFonts w:ascii="Constantia" w:hAnsi="Constantia"/>
          <w:sz w:val="28"/>
          <w:szCs w:val="28"/>
        </w:rPr>
        <w:t>perform</w:t>
      </w:r>
      <w:r w:rsidR="007A5FFB">
        <w:rPr>
          <w:rFonts w:ascii="Constantia" w:hAnsi="Constantia"/>
          <w:sz w:val="28"/>
          <w:szCs w:val="28"/>
        </w:rPr>
        <w:t xml:space="preserve">ed on the victim.  </w:t>
      </w:r>
      <w:r w:rsidR="00637290">
        <w:rPr>
          <w:rFonts w:ascii="Constantia" w:hAnsi="Constantia"/>
          <w:sz w:val="28"/>
          <w:szCs w:val="28"/>
        </w:rPr>
        <w:t>H</w:t>
      </w:r>
      <w:r w:rsidR="00637290" w:rsidRPr="00637290">
        <w:rPr>
          <w:rFonts w:ascii="Constantia" w:hAnsi="Constantia"/>
          <w:sz w:val="28"/>
          <w:szCs w:val="28"/>
        </w:rPr>
        <w:t>owever,</w:t>
      </w:r>
      <w:r w:rsidR="00637290">
        <w:rPr>
          <w:rFonts w:ascii="Constantia" w:hAnsi="Constantia"/>
          <w:sz w:val="24"/>
          <w:szCs w:val="24"/>
        </w:rPr>
        <w:t xml:space="preserve"> </w:t>
      </w:r>
      <w:r w:rsidR="00FC388F" w:rsidRPr="007A5FFB">
        <w:rPr>
          <w:rFonts w:ascii="Constantia" w:hAnsi="Constantia"/>
          <w:sz w:val="28"/>
          <w:szCs w:val="28"/>
        </w:rPr>
        <w:t>given that</w:t>
      </w:r>
      <w:r w:rsidR="00FC388F">
        <w:rPr>
          <w:rFonts w:ascii="Constantia" w:hAnsi="Constantia"/>
          <w:sz w:val="24"/>
          <w:szCs w:val="24"/>
        </w:rPr>
        <w:t xml:space="preserve"> </w:t>
      </w:r>
      <w:r w:rsidR="00637290" w:rsidRPr="00637290">
        <w:rPr>
          <w:rFonts w:ascii="Constantia" w:hAnsi="Constantia"/>
          <w:sz w:val="28"/>
          <w:szCs w:val="28"/>
        </w:rPr>
        <w:t>the</w:t>
      </w:r>
      <w:r w:rsidR="00637290">
        <w:rPr>
          <w:rFonts w:ascii="Constantia" w:hAnsi="Constantia"/>
          <w:sz w:val="24"/>
          <w:szCs w:val="24"/>
        </w:rPr>
        <w:t xml:space="preserve"> </w:t>
      </w:r>
      <w:r w:rsidR="00637290" w:rsidRPr="00637290">
        <w:rPr>
          <w:rFonts w:ascii="Constantia" w:hAnsi="Constantia"/>
          <w:sz w:val="28"/>
          <w:szCs w:val="28"/>
        </w:rPr>
        <w:t xml:space="preserve">date of </w:t>
      </w:r>
      <w:r w:rsidR="00637290">
        <w:rPr>
          <w:rFonts w:ascii="Constantia" w:hAnsi="Constantia"/>
          <w:sz w:val="28"/>
          <w:szCs w:val="28"/>
        </w:rPr>
        <w:t xml:space="preserve">this document </w:t>
      </w:r>
      <w:r w:rsidR="00637290" w:rsidRPr="00637290">
        <w:rPr>
          <w:rFonts w:ascii="Constantia" w:hAnsi="Constantia"/>
          <w:sz w:val="28"/>
          <w:szCs w:val="28"/>
        </w:rPr>
        <w:t>was not very legible</w:t>
      </w:r>
      <w:r w:rsidR="00FC388F">
        <w:rPr>
          <w:rFonts w:ascii="Constantia" w:hAnsi="Constantia"/>
          <w:sz w:val="28"/>
          <w:szCs w:val="28"/>
        </w:rPr>
        <w:t xml:space="preserve">, </w:t>
      </w:r>
      <w:r w:rsidR="007A5FFB">
        <w:rPr>
          <w:rFonts w:ascii="Constantia" w:hAnsi="Constantia"/>
          <w:sz w:val="28"/>
          <w:szCs w:val="28"/>
        </w:rPr>
        <w:t xml:space="preserve">the said document does not shed light on whether or not the sexual act that was performed on the victim is the one in issue presently.  </w:t>
      </w:r>
      <w:r w:rsidR="00FC388F">
        <w:rPr>
          <w:rFonts w:ascii="Constantia" w:hAnsi="Constantia"/>
          <w:sz w:val="28"/>
          <w:szCs w:val="28"/>
        </w:rPr>
        <w:t xml:space="preserve">Further, </w:t>
      </w:r>
      <w:r w:rsidR="007A5FFB">
        <w:rPr>
          <w:rFonts w:ascii="Constantia" w:hAnsi="Constantia"/>
          <w:sz w:val="28"/>
          <w:szCs w:val="28"/>
        </w:rPr>
        <w:t>Exh. P1</w:t>
      </w:r>
      <w:r w:rsidR="00076CF2">
        <w:rPr>
          <w:rFonts w:ascii="Constantia" w:hAnsi="Constantia"/>
          <w:sz w:val="28"/>
          <w:szCs w:val="28"/>
        </w:rPr>
        <w:t xml:space="preserve"> falls short on proof of the victim’s age</w:t>
      </w:r>
      <w:r w:rsidR="00E233C5">
        <w:rPr>
          <w:rFonts w:ascii="Constantia" w:hAnsi="Constantia"/>
          <w:sz w:val="28"/>
          <w:szCs w:val="28"/>
        </w:rPr>
        <w:t>.</w:t>
      </w:r>
      <w:r w:rsidR="00076CF2">
        <w:rPr>
          <w:rFonts w:ascii="Constantia" w:hAnsi="Constantia"/>
          <w:sz w:val="28"/>
          <w:szCs w:val="28"/>
        </w:rPr>
        <w:t xml:space="preserve">  </w:t>
      </w:r>
      <w:r w:rsidR="00A432F8">
        <w:rPr>
          <w:rFonts w:ascii="Constantia" w:hAnsi="Constantia"/>
          <w:sz w:val="28"/>
          <w:szCs w:val="28"/>
        </w:rPr>
        <w:t xml:space="preserve">A </w:t>
      </w:r>
      <w:r w:rsidR="00476176">
        <w:rPr>
          <w:rFonts w:ascii="Constantia" w:hAnsi="Constantia"/>
          <w:sz w:val="28"/>
          <w:szCs w:val="28"/>
        </w:rPr>
        <w:t xml:space="preserve">medical </w:t>
      </w:r>
      <w:r w:rsidR="00A432F8">
        <w:rPr>
          <w:rFonts w:ascii="Constantia" w:hAnsi="Constantia"/>
          <w:sz w:val="28"/>
          <w:szCs w:val="28"/>
        </w:rPr>
        <w:t xml:space="preserve">finding that the victim was under 15 years of age would not prove to the required standard that she was under 14 years of age as </w:t>
      </w:r>
      <w:r w:rsidR="00E233C5">
        <w:rPr>
          <w:rFonts w:ascii="Constantia" w:hAnsi="Constantia"/>
          <w:sz w:val="28"/>
          <w:szCs w:val="28"/>
        </w:rPr>
        <w:t xml:space="preserve">by law </w:t>
      </w:r>
      <w:r w:rsidR="00A432F8">
        <w:rPr>
          <w:rFonts w:ascii="Constantia" w:hAnsi="Constantia"/>
          <w:sz w:val="28"/>
          <w:szCs w:val="28"/>
        </w:rPr>
        <w:t xml:space="preserve">prescribed.  I therefore </w:t>
      </w:r>
      <w:r w:rsidR="00983C6F">
        <w:rPr>
          <w:rFonts w:ascii="Constantia" w:hAnsi="Constantia"/>
          <w:sz w:val="28"/>
          <w:szCs w:val="28"/>
        </w:rPr>
        <w:t>find that the medical evidence contained in Exh. P1 does not prove either ingredient of the present offence to the required standard and revert to the oral evidence for a determination of the same.</w:t>
      </w:r>
    </w:p>
    <w:p w:rsidR="00983C6F" w:rsidRDefault="00983C6F" w:rsidP="00A60224">
      <w:pPr>
        <w:pStyle w:val="ListParagraph"/>
        <w:ind w:left="0"/>
        <w:jc w:val="both"/>
        <w:rPr>
          <w:rFonts w:ascii="Constantia" w:hAnsi="Constantia"/>
          <w:sz w:val="28"/>
          <w:szCs w:val="28"/>
        </w:rPr>
      </w:pPr>
    </w:p>
    <w:p w:rsidR="00983C6F" w:rsidRDefault="00BB21F8" w:rsidP="00A60224">
      <w:pPr>
        <w:pStyle w:val="ListParagraph"/>
        <w:ind w:left="0"/>
        <w:jc w:val="both"/>
        <w:rPr>
          <w:rFonts w:ascii="Constantia" w:hAnsi="Constantia"/>
          <w:sz w:val="28"/>
          <w:szCs w:val="28"/>
        </w:rPr>
      </w:pPr>
      <w:r>
        <w:rPr>
          <w:rFonts w:ascii="Constantia" w:hAnsi="Constantia"/>
          <w:sz w:val="28"/>
          <w:szCs w:val="28"/>
        </w:rPr>
        <w:t xml:space="preserve">Given that the victim’s age is in issue </w:t>
      </w:r>
      <w:r w:rsidR="00983C6F">
        <w:rPr>
          <w:rFonts w:ascii="Constantia" w:hAnsi="Constantia"/>
          <w:sz w:val="28"/>
          <w:szCs w:val="28"/>
        </w:rPr>
        <w:t xml:space="preserve">I propose to commence with a determination </w:t>
      </w:r>
      <w:r>
        <w:rPr>
          <w:rFonts w:ascii="Constantia" w:hAnsi="Constantia"/>
          <w:sz w:val="28"/>
          <w:szCs w:val="28"/>
        </w:rPr>
        <w:t>there</w:t>
      </w:r>
      <w:r w:rsidR="00983C6F">
        <w:rPr>
          <w:rFonts w:ascii="Constantia" w:hAnsi="Constantia"/>
          <w:sz w:val="28"/>
          <w:szCs w:val="28"/>
        </w:rPr>
        <w:t xml:space="preserve">of </w:t>
      </w:r>
      <w:r>
        <w:rPr>
          <w:rFonts w:ascii="Constantia" w:hAnsi="Constantia"/>
          <w:sz w:val="28"/>
          <w:szCs w:val="28"/>
        </w:rPr>
        <w:t xml:space="preserve">prior to consideration of </w:t>
      </w:r>
      <w:r w:rsidR="00983C6F">
        <w:rPr>
          <w:rFonts w:ascii="Constantia" w:hAnsi="Constantia"/>
          <w:sz w:val="28"/>
          <w:szCs w:val="28"/>
        </w:rPr>
        <w:t xml:space="preserve">the ingredient of a sexual act, which I shall address concurrently with the alleged participation of the accused.  </w:t>
      </w:r>
    </w:p>
    <w:p w:rsidR="00983C6F" w:rsidRDefault="00983C6F" w:rsidP="00A60224">
      <w:pPr>
        <w:pStyle w:val="ListParagraph"/>
        <w:ind w:left="0"/>
        <w:jc w:val="both"/>
        <w:rPr>
          <w:rFonts w:ascii="Constantia" w:hAnsi="Constantia"/>
          <w:sz w:val="28"/>
          <w:szCs w:val="28"/>
        </w:rPr>
      </w:pPr>
    </w:p>
    <w:p w:rsidR="001C2F51" w:rsidRDefault="001C2F51" w:rsidP="00A60224">
      <w:pPr>
        <w:pStyle w:val="ListParagraph"/>
        <w:ind w:left="0"/>
        <w:jc w:val="both"/>
        <w:rPr>
          <w:rFonts w:ascii="Constantia" w:hAnsi="Constantia"/>
          <w:sz w:val="28"/>
          <w:szCs w:val="28"/>
        </w:rPr>
      </w:pPr>
      <w:r>
        <w:rPr>
          <w:rFonts w:ascii="Constantia" w:hAnsi="Constantia"/>
          <w:sz w:val="28"/>
          <w:szCs w:val="28"/>
        </w:rPr>
        <w:t xml:space="preserve">PW1 </w:t>
      </w:r>
      <w:r w:rsidR="007F28F4">
        <w:rPr>
          <w:rFonts w:ascii="Constantia" w:hAnsi="Constantia"/>
          <w:sz w:val="28"/>
          <w:szCs w:val="28"/>
        </w:rPr>
        <w:t xml:space="preserve">(the complainant) </w:t>
      </w:r>
      <w:r>
        <w:rPr>
          <w:rFonts w:ascii="Constantia" w:hAnsi="Constantia"/>
          <w:sz w:val="28"/>
          <w:szCs w:val="28"/>
        </w:rPr>
        <w:t xml:space="preserve">testified that her daughter </w:t>
      </w:r>
      <w:r w:rsidR="007F28F4">
        <w:rPr>
          <w:rFonts w:ascii="Constantia" w:hAnsi="Constantia"/>
          <w:sz w:val="28"/>
          <w:szCs w:val="28"/>
        </w:rPr>
        <w:t xml:space="preserve">(PW2) </w:t>
      </w:r>
      <w:r>
        <w:rPr>
          <w:rFonts w:ascii="Constantia" w:hAnsi="Constantia"/>
          <w:sz w:val="28"/>
          <w:szCs w:val="28"/>
        </w:rPr>
        <w:t xml:space="preserve">was 10 years old at the time of the present trial but 7 years old at the time she </w:t>
      </w:r>
      <w:r w:rsidR="007F28F4">
        <w:rPr>
          <w:rFonts w:ascii="Constantia" w:hAnsi="Constantia"/>
          <w:sz w:val="28"/>
          <w:szCs w:val="28"/>
        </w:rPr>
        <w:t xml:space="preserve">(PW2) </w:t>
      </w:r>
      <w:r>
        <w:rPr>
          <w:rFonts w:ascii="Constantia" w:hAnsi="Constantia"/>
          <w:sz w:val="28"/>
          <w:szCs w:val="28"/>
        </w:rPr>
        <w:t xml:space="preserve">was defiled.  </w:t>
      </w:r>
      <w:r w:rsidR="007F28F4">
        <w:rPr>
          <w:rFonts w:ascii="Constantia" w:hAnsi="Constantia"/>
          <w:sz w:val="28"/>
          <w:szCs w:val="28"/>
        </w:rPr>
        <w:t xml:space="preserve">At trial </w:t>
      </w:r>
      <w:r>
        <w:rPr>
          <w:rFonts w:ascii="Constantia" w:hAnsi="Constantia"/>
          <w:sz w:val="28"/>
          <w:szCs w:val="28"/>
        </w:rPr>
        <w:t xml:space="preserve">PW2 testified that she was 10 years old.  This would place her at 7 years old at the time of the alleged defilement in 2009.  The accused did not question PW2’s age.  In submissions learned Defence Counsel simply contended that the entry of ‘less than 15 years’ rather than an approximate age rendered the medical report too weak to be relied upon.  </w:t>
      </w:r>
      <w:r w:rsidR="00BB21F8">
        <w:rPr>
          <w:rFonts w:ascii="Constantia" w:hAnsi="Constantia"/>
          <w:sz w:val="28"/>
          <w:szCs w:val="28"/>
        </w:rPr>
        <w:t xml:space="preserve">I quite agree with learned defence counsel on this point.  Nonetheless, </w:t>
      </w:r>
      <w:r>
        <w:rPr>
          <w:rFonts w:ascii="Constantia" w:hAnsi="Constantia"/>
          <w:sz w:val="28"/>
          <w:szCs w:val="28"/>
        </w:rPr>
        <w:t xml:space="preserve">court did have opportunity to observe </w:t>
      </w:r>
      <w:r w:rsidR="007B110F">
        <w:rPr>
          <w:rFonts w:ascii="Constantia" w:hAnsi="Constantia"/>
          <w:sz w:val="28"/>
          <w:szCs w:val="28"/>
        </w:rPr>
        <w:t xml:space="preserve">the victim </w:t>
      </w:r>
      <w:r>
        <w:rPr>
          <w:rFonts w:ascii="Constantia" w:hAnsi="Constantia"/>
          <w:sz w:val="28"/>
          <w:szCs w:val="28"/>
        </w:rPr>
        <w:t>at trial and noted that, while she was a fairly big bodied child, she did appear to be under 14 years old</w:t>
      </w:r>
      <w:r w:rsidR="007B110F">
        <w:rPr>
          <w:rFonts w:ascii="Constantia" w:hAnsi="Constantia"/>
          <w:sz w:val="28"/>
          <w:szCs w:val="28"/>
        </w:rPr>
        <w:t xml:space="preserve"> at the time</w:t>
      </w:r>
      <w:r>
        <w:rPr>
          <w:rFonts w:ascii="Constantia" w:hAnsi="Constantia"/>
          <w:sz w:val="28"/>
          <w:szCs w:val="28"/>
        </w:rPr>
        <w:t xml:space="preserve">.  </w:t>
      </w:r>
      <w:r w:rsidR="00262FA1">
        <w:rPr>
          <w:rFonts w:ascii="Constantia" w:hAnsi="Constantia"/>
          <w:sz w:val="28"/>
          <w:szCs w:val="28"/>
        </w:rPr>
        <w:t xml:space="preserve">Therefore she would certainly have been under 14 years old 3 years ago when the alleged defilement occurred.  </w:t>
      </w:r>
      <w:r>
        <w:rPr>
          <w:rFonts w:ascii="Constantia" w:hAnsi="Constantia"/>
          <w:sz w:val="28"/>
          <w:szCs w:val="28"/>
        </w:rPr>
        <w:t xml:space="preserve">I am satisfied, therefore that PW2 was under 14 years at the time of her defilement and do find that the prosecution has proved this ingredient of aggravated defilement beyond reasonable doubt.  </w:t>
      </w:r>
    </w:p>
    <w:p w:rsidR="00530AE9" w:rsidRDefault="00530AE9" w:rsidP="00A60224">
      <w:pPr>
        <w:pStyle w:val="ListParagraph"/>
        <w:ind w:left="0"/>
        <w:jc w:val="both"/>
        <w:rPr>
          <w:rFonts w:ascii="Constantia" w:hAnsi="Constantia"/>
          <w:sz w:val="28"/>
          <w:szCs w:val="28"/>
        </w:rPr>
      </w:pPr>
    </w:p>
    <w:p w:rsidR="003542FD" w:rsidRPr="00EC465D" w:rsidRDefault="001C2F51" w:rsidP="003542FD">
      <w:pPr>
        <w:jc w:val="both"/>
        <w:rPr>
          <w:rFonts w:ascii="Constantia" w:hAnsi="Constantia"/>
          <w:sz w:val="28"/>
          <w:szCs w:val="28"/>
        </w:rPr>
      </w:pPr>
      <w:r>
        <w:rPr>
          <w:rFonts w:ascii="Constantia" w:hAnsi="Constantia"/>
          <w:sz w:val="28"/>
          <w:szCs w:val="28"/>
        </w:rPr>
        <w:t xml:space="preserve">On the question of the </w:t>
      </w:r>
      <w:r w:rsidR="00075AC0">
        <w:rPr>
          <w:rFonts w:ascii="Constantia" w:hAnsi="Constantia"/>
          <w:sz w:val="28"/>
          <w:szCs w:val="28"/>
        </w:rPr>
        <w:t xml:space="preserve">alleged sexual act, </w:t>
      </w:r>
      <w:r w:rsidR="00892803">
        <w:rPr>
          <w:rFonts w:ascii="Constantia" w:hAnsi="Constantia"/>
          <w:sz w:val="28"/>
          <w:szCs w:val="28"/>
        </w:rPr>
        <w:t xml:space="preserve">as well as the accused’s participation therein, </w:t>
      </w:r>
      <w:r w:rsidR="00075AC0">
        <w:rPr>
          <w:rFonts w:ascii="Constantia" w:hAnsi="Constantia"/>
          <w:sz w:val="28"/>
          <w:szCs w:val="28"/>
        </w:rPr>
        <w:t>PW</w:t>
      </w:r>
      <w:r w:rsidR="00892803">
        <w:rPr>
          <w:rFonts w:ascii="Constantia" w:hAnsi="Constantia"/>
          <w:sz w:val="28"/>
          <w:szCs w:val="28"/>
        </w:rPr>
        <w:t>2</w:t>
      </w:r>
      <w:r w:rsidR="00075AC0">
        <w:rPr>
          <w:rFonts w:ascii="Constantia" w:hAnsi="Constantia"/>
          <w:sz w:val="28"/>
          <w:szCs w:val="28"/>
        </w:rPr>
        <w:t xml:space="preserve"> testified that she was defiled by the accused on the night of 4</w:t>
      </w:r>
      <w:r w:rsidR="00075AC0" w:rsidRPr="00075AC0">
        <w:rPr>
          <w:rFonts w:ascii="Constantia" w:hAnsi="Constantia"/>
          <w:sz w:val="28"/>
          <w:szCs w:val="28"/>
          <w:vertAlign w:val="superscript"/>
        </w:rPr>
        <w:t>th</w:t>
      </w:r>
      <w:r w:rsidR="00075AC0">
        <w:rPr>
          <w:rFonts w:ascii="Constantia" w:hAnsi="Constantia"/>
          <w:sz w:val="28"/>
          <w:szCs w:val="28"/>
        </w:rPr>
        <w:t xml:space="preserve"> April 2009.  She stated that the accused lay on top of her and put something inside her.  </w:t>
      </w:r>
      <w:r w:rsidR="00892803" w:rsidRPr="009D1195">
        <w:rPr>
          <w:rFonts w:ascii="Constantia" w:hAnsi="Constantia"/>
          <w:sz w:val="28"/>
          <w:szCs w:val="28"/>
        </w:rPr>
        <w:t xml:space="preserve">She </w:t>
      </w:r>
      <w:r w:rsidR="00892803">
        <w:rPr>
          <w:rFonts w:ascii="Constantia" w:hAnsi="Constantia"/>
          <w:sz w:val="28"/>
          <w:szCs w:val="28"/>
        </w:rPr>
        <w:t xml:space="preserve">further </w:t>
      </w:r>
      <w:r w:rsidR="00892803" w:rsidRPr="009D1195">
        <w:rPr>
          <w:rFonts w:ascii="Constantia" w:hAnsi="Constantia"/>
          <w:sz w:val="28"/>
          <w:szCs w:val="28"/>
        </w:rPr>
        <w:t>testified that at the material time the accused lived in her parents’ home where she too lived</w:t>
      </w:r>
      <w:r w:rsidR="004F76E6">
        <w:rPr>
          <w:rFonts w:ascii="Constantia" w:hAnsi="Constantia"/>
          <w:sz w:val="28"/>
          <w:szCs w:val="28"/>
        </w:rPr>
        <w:t>,</w:t>
      </w:r>
      <w:r w:rsidR="00892803">
        <w:rPr>
          <w:rFonts w:ascii="Constantia" w:hAnsi="Constantia"/>
          <w:sz w:val="28"/>
          <w:szCs w:val="28"/>
        </w:rPr>
        <w:t xml:space="preserve"> and had lived with </w:t>
      </w:r>
      <w:r w:rsidR="00892803" w:rsidRPr="009D1195">
        <w:rPr>
          <w:rFonts w:ascii="Constantia" w:hAnsi="Constantia"/>
          <w:sz w:val="28"/>
          <w:szCs w:val="28"/>
        </w:rPr>
        <w:t xml:space="preserve">her family for about 7 months.  </w:t>
      </w:r>
      <w:r w:rsidR="009D5336">
        <w:rPr>
          <w:rFonts w:ascii="Constantia" w:hAnsi="Constantia"/>
          <w:sz w:val="28"/>
          <w:szCs w:val="28"/>
        </w:rPr>
        <w:t xml:space="preserve">The witness testified on oath pursuant to the findings of a </w:t>
      </w:r>
      <w:r w:rsidR="009D5336" w:rsidRPr="009D5336">
        <w:rPr>
          <w:rFonts w:ascii="Constantia" w:hAnsi="Constantia"/>
          <w:i/>
          <w:sz w:val="28"/>
          <w:szCs w:val="28"/>
        </w:rPr>
        <w:t xml:space="preserve">voire dire </w:t>
      </w:r>
      <w:r w:rsidR="009D5336">
        <w:rPr>
          <w:rFonts w:ascii="Constantia" w:hAnsi="Constantia"/>
          <w:sz w:val="28"/>
          <w:szCs w:val="28"/>
        </w:rPr>
        <w:t xml:space="preserve">test.  </w:t>
      </w:r>
      <w:r w:rsidR="00892803" w:rsidRPr="009D1195">
        <w:rPr>
          <w:rFonts w:ascii="Constantia" w:hAnsi="Constantia"/>
          <w:sz w:val="28"/>
          <w:szCs w:val="28"/>
        </w:rPr>
        <w:t xml:space="preserve">PW1, on her part, testified that on the night in question she returned to her home </w:t>
      </w:r>
      <w:r w:rsidR="00892803">
        <w:rPr>
          <w:rFonts w:ascii="Constantia" w:hAnsi="Constantia"/>
          <w:sz w:val="28"/>
          <w:szCs w:val="28"/>
        </w:rPr>
        <w:t xml:space="preserve">from visiting relations upcountry </w:t>
      </w:r>
      <w:r w:rsidR="00892803" w:rsidRPr="009D1195">
        <w:rPr>
          <w:rFonts w:ascii="Constantia" w:hAnsi="Constantia"/>
          <w:sz w:val="28"/>
          <w:szCs w:val="28"/>
        </w:rPr>
        <w:t>and</w:t>
      </w:r>
      <w:r w:rsidR="00892803">
        <w:rPr>
          <w:rFonts w:ascii="Constantia" w:hAnsi="Constantia"/>
          <w:sz w:val="28"/>
          <w:szCs w:val="28"/>
        </w:rPr>
        <w:t>,</w:t>
      </w:r>
      <w:r w:rsidR="00892803" w:rsidRPr="009D1195">
        <w:rPr>
          <w:rFonts w:ascii="Constantia" w:hAnsi="Constantia"/>
          <w:sz w:val="28"/>
          <w:szCs w:val="28"/>
        </w:rPr>
        <w:t xml:space="preserve"> upon opening the door to the house, saw the accused running out of </w:t>
      </w:r>
      <w:r w:rsidR="00892803">
        <w:rPr>
          <w:rFonts w:ascii="Constantia" w:hAnsi="Constantia"/>
          <w:sz w:val="28"/>
          <w:szCs w:val="28"/>
        </w:rPr>
        <w:t>the</w:t>
      </w:r>
      <w:r w:rsidR="00892803" w:rsidRPr="009D1195">
        <w:rPr>
          <w:rFonts w:ascii="Constantia" w:hAnsi="Constantia"/>
          <w:sz w:val="28"/>
          <w:szCs w:val="28"/>
        </w:rPr>
        <w:t xml:space="preserve"> room where PW2 was sleeping.  </w:t>
      </w:r>
      <w:r w:rsidR="00892803">
        <w:rPr>
          <w:rFonts w:ascii="Constantia" w:hAnsi="Constantia"/>
          <w:sz w:val="28"/>
          <w:szCs w:val="28"/>
        </w:rPr>
        <w:t xml:space="preserve">Upon entering the room she found the child soaked in semen and later observed some </w:t>
      </w:r>
      <w:r w:rsidR="00892803" w:rsidRPr="009D1195">
        <w:rPr>
          <w:rFonts w:ascii="Constantia" w:hAnsi="Constantia"/>
          <w:sz w:val="28"/>
          <w:szCs w:val="28"/>
        </w:rPr>
        <w:t>semen around her private parts</w:t>
      </w:r>
      <w:r w:rsidR="00892803">
        <w:rPr>
          <w:rFonts w:ascii="Constantia" w:hAnsi="Constantia"/>
          <w:sz w:val="28"/>
          <w:szCs w:val="28"/>
        </w:rPr>
        <w:t xml:space="preserve">.  </w:t>
      </w:r>
      <w:r w:rsidR="003542FD">
        <w:rPr>
          <w:rFonts w:ascii="Constantia" w:hAnsi="Constantia"/>
          <w:sz w:val="28"/>
          <w:szCs w:val="28"/>
        </w:rPr>
        <w:t xml:space="preserve">On the other hand, the accused gave sworn evidence in which he denied all the allegations against him and attributed the present proceedings to a grudge that PW1 held against him.  He conceded that he was present in the house where the defilement allegedly took place on the night in question, and contended that while the victim (PW2) would ordinarily have had no reason to tell lies on oath against him she could have done so in support of her mother’s allegedly vendetta-laden agenda.  </w:t>
      </w:r>
    </w:p>
    <w:p w:rsidR="00075AC0" w:rsidRDefault="00075AC0" w:rsidP="00A60224">
      <w:pPr>
        <w:pStyle w:val="ListParagraph"/>
        <w:ind w:left="0"/>
        <w:jc w:val="both"/>
        <w:rPr>
          <w:rFonts w:ascii="Constantia" w:hAnsi="Constantia"/>
          <w:sz w:val="28"/>
          <w:szCs w:val="28"/>
        </w:rPr>
      </w:pPr>
    </w:p>
    <w:p w:rsidR="002A25C6" w:rsidRDefault="00075AC0" w:rsidP="00A60224">
      <w:pPr>
        <w:pStyle w:val="ListParagraph"/>
        <w:ind w:left="0"/>
        <w:jc w:val="both"/>
        <w:rPr>
          <w:rFonts w:ascii="Constantia" w:hAnsi="Constantia"/>
          <w:sz w:val="28"/>
          <w:szCs w:val="28"/>
        </w:rPr>
      </w:pPr>
      <w:r>
        <w:rPr>
          <w:rFonts w:ascii="Constantia" w:hAnsi="Constantia"/>
          <w:sz w:val="28"/>
          <w:szCs w:val="28"/>
        </w:rPr>
        <w:t xml:space="preserve">Section 129(4)(a) of the Penal Code defines a sexual act to include penetration of a person’s sexual organ by another sexual organ however slight the penetration.  </w:t>
      </w:r>
      <w:r w:rsidR="002A25C6" w:rsidRPr="00B1049C">
        <w:rPr>
          <w:rFonts w:ascii="Constantia" w:hAnsi="Constantia"/>
          <w:sz w:val="28"/>
          <w:szCs w:val="28"/>
        </w:rPr>
        <w:t xml:space="preserve">In the present case </w:t>
      </w:r>
      <w:r w:rsidR="00B741E0">
        <w:rPr>
          <w:rFonts w:ascii="Constantia" w:hAnsi="Constantia"/>
          <w:sz w:val="28"/>
          <w:szCs w:val="28"/>
        </w:rPr>
        <w:t xml:space="preserve">the </w:t>
      </w:r>
      <w:r w:rsidR="000741EF">
        <w:rPr>
          <w:rFonts w:ascii="Constantia" w:hAnsi="Constantia"/>
          <w:sz w:val="28"/>
          <w:szCs w:val="28"/>
        </w:rPr>
        <w:t>issue</w:t>
      </w:r>
      <w:r w:rsidR="00B741E0">
        <w:rPr>
          <w:rFonts w:ascii="Constantia" w:hAnsi="Constantia"/>
          <w:sz w:val="28"/>
          <w:szCs w:val="28"/>
        </w:rPr>
        <w:t xml:space="preserve"> of penetration, as well as the purported identification of the accused were attested to by PW2, a child of tender years.  </w:t>
      </w:r>
      <w:r w:rsidR="002A25C6">
        <w:rPr>
          <w:rFonts w:ascii="Constantia" w:hAnsi="Constantia"/>
          <w:sz w:val="28"/>
          <w:szCs w:val="28"/>
        </w:rPr>
        <w:t xml:space="preserve">I </w:t>
      </w:r>
      <w:r w:rsidR="00FE4862">
        <w:rPr>
          <w:rFonts w:ascii="Constantia" w:hAnsi="Constantia"/>
          <w:sz w:val="28"/>
          <w:szCs w:val="28"/>
        </w:rPr>
        <w:t xml:space="preserve">therefore propose to </w:t>
      </w:r>
      <w:r w:rsidR="002A25C6">
        <w:rPr>
          <w:rFonts w:ascii="Constantia" w:hAnsi="Constantia"/>
          <w:sz w:val="28"/>
          <w:szCs w:val="28"/>
        </w:rPr>
        <w:t>address myself to the legal position on child evidence and the evidence of a single identification witness</w:t>
      </w:r>
      <w:r w:rsidR="00FE4862">
        <w:rPr>
          <w:rFonts w:ascii="Constantia" w:hAnsi="Constantia"/>
          <w:sz w:val="28"/>
          <w:szCs w:val="28"/>
        </w:rPr>
        <w:t xml:space="preserve"> prior to an evaluation of PW2’s evidence</w:t>
      </w:r>
      <w:r w:rsidR="0012142B">
        <w:rPr>
          <w:rFonts w:ascii="Constantia" w:hAnsi="Constantia"/>
          <w:sz w:val="28"/>
          <w:szCs w:val="28"/>
        </w:rPr>
        <w:t>.</w:t>
      </w:r>
      <w:r w:rsidR="002A25C6">
        <w:rPr>
          <w:rFonts w:ascii="Constantia" w:hAnsi="Constantia"/>
          <w:sz w:val="28"/>
          <w:szCs w:val="28"/>
        </w:rPr>
        <w:t xml:space="preserve">  </w:t>
      </w:r>
    </w:p>
    <w:p w:rsidR="00075AC0" w:rsidRDefault="002A25C6" w:rsidP="00A60224">
      <w:pPr>
        <w:pStyle w:val="ListParagraph"/>
        <w:ind w:left="0"/>
        <w:jc w:val="both"/>
        <w:rPr>
          <w:rFonts w:ascii="Constantia" w:hAnsi="Constantia"/>
          <w:sz w:val="28"/>
          <w:szCs w:val="28"/>
        </w:rPr>
      </w:pPr>
      <w:r>
        <w:rPr>
          <w:rFonts w:ascii="Constantia" w:hAnsi="Constantia"/>
          <w:sz w:val="28"/>
          <w:szCs w:val="28"/>
        </w:rPr>
        <w:t xml:space="preserve"> </w:t>
      </w:r>
    </w:p>
    <w:p w:rsidR="002A25C6" w:rsidRPr="00A97357" w:rsidRDefault="002A25C6" w:rsidP="002A25C6">
      <w:pPr>
        <w:jc w:val="both"/>
        <w:rPr>
          <w:rFonts w:ascii="Constantia" w:hAnsi="Constantia"/>
          <w:sz w:val="28"/>
          <w:szCs w:val="28"/>
        </w:rPr>
      </w:pPr>
      <w:r w:rsidRPr="00EC465D">
        <w:rPr>
          <w:rFonts w:ascii="Constantia" w:hAnsi="Constantia"/>
          <w:sz w:val="28"/>
          <w:szCs w:val="28"/>
        </w:rPr>
        <w:t xml:space="preserve">Section 40(3) of the Trial on Indictment Act </w:t>
      </w:r>
      <w:r>
        <w:rPr>
          <w:rFonts w:ascii="Constantia" w:hAnsi="Constantia"/>
          <w:sz w:val="28"/>
          <w:szCs w:val="28"/>
        </w:rPr>
        <w:t>states as follows on the question of child evidence:</w:t>
      </w:r>
    </w:p>
    <w:p w:rsidR="002A25C6" w:rsidRPr="00794A3B" w:rsidRDefault="002A25C6" w:rsidP="002A25C6">
      <w:pPr>
        <w:pStyle w:val="ListParagraph"/>
        <w:jc w:val="both"/>
        <w:rPr>
          <w:rFonts w:ascii="Constantia" w:hAnsi="Constantia"/>
          <w:b/>
          <w:sz w:val="28"/>
          <w:szCs w:val="28"/>
        </w:rPr>
      </w:pPr>
      <w:r w:rsidRPr="00794A3B">
        <w:rPr>
          <w:rFonts w:ascii="Constantia" w:hAnsi="Constantia"/>
          <w:b/>
          <w:sz w:val="28"/>
          <w:szCs w:val="28"/>
        </w:rPr>
        <w:t>“... where evidence admitted by virtue of this subsection is given on behalf of the prosecution, the accused shall not be liable to be convicted unless the evidence is corroborated by some other material evidence in support thereof implicating him or her.”</w:t>
      </w:r>
    </w:p>
    <w:p w:rsidR="002A25C6" w:rsidRDefault="002A25C6" w:rsidP="002A25C6">
      <w:pPr>
        <w:pStyle w:val="ListParagraph"/>
        <w:ind w:left="0"/>
        <w:jc w:val="both"/>
        <w:rPr>
          <w:rFonts w:ascii="Constantia" w:hAnsi="Constantia"/>
          <w:sz w:val="28"/>
          <w:szCs w:val="28"/>
        </w:rPr>
      </w:pPr>
    </w:p>
    <w:p w:rsidR="00C56911" w:rsidRDefault="002A25C6" w:rsidP="00D5669B">
      <w:pPr>
        <w:pStyle w:val="ListParagraph"/>
        <w:ind w:left="0"/>
        <w:jc w:val="both"/>
        <w:rPr>
          <w:rFonts w:ascii="Constantia" w:hAnsi="Constantia"/>
          <w:sz w:val="28"/>
          <w:szCs w:val="28"/>
        </w:rPr>
      </w:pPr>
      <w:r>
        <w:rPr>
          <w:rFonts w:ascii="Constantia" w:hAnsi="Constantia"/>
          <w:sz w:val="28"/>
          <w:szCs w:val="28"/>
        </w:rPr>
        <w:t>The import of the foregoing statutory provision would appear to be that generally the evidence of a child prosecution witness requires corroboration</w:t>
      </w:r>
      <w:r w:rsidR="000741EF">
        <w:rPr>
          <w:rFonts w:ascii="Constantia" w:hAnsi="Constantia"/>
          <w:sz w:val="28"/>
          <w:szCs w:val="28"/>
        </w:rPr>
        <w:t xml:space="preserve"> before being relied upon for a conviction</w:t>
      </w:r>
      <w:r>
        <w:rPr>
          <w:rFonts w:ascii="Constantia" w:hAnsi="Constantia"/>
          <w:sz w:val="28"/>
          <w:szCs w:val="28"/>
        </w:rPr>
        <w:t xml:space="preserve">.  See also </w:t>
      </w:r>
      <w:r w:rsidRPr="007E6FC0">
        <w:rPr>
          <w:rFonts w:ascii="Constantia" w:hAnsi="Constantia"/>
          <w:b/>
          <w:sz w:val="28"/>
          <w:szCs w:val="28"/>
          <w:u w:val="single"/>
        </w:rPr>
        <w:t xml:space="preserve">Francisco Matovu vs. R (1961) EA 260 </w:t>
      </w:r>
      <w:r w:rsidRPr="008F764F">
        <w:rPr>
          <w:rFonts w:ascii="Constantia" w:hAnsi="Constantia"/>
          <w:sz w:val="28"/>
          <w:szCs w:val="28"/>
        </w:rPr>
        <w:t>(Court of Appeal)</w:t>
      </w:r>
      <w:r>
        <w:rPr>
          <w:rFonts w:ascii="Constantia" w:hAnsi="Constantia"/>
          <w:sz w:val="28"/>
          <w:szCs w:val="28"/>
        </w:rPr>
        <w:t xml:space="preserve">.   </w:t>
      </w:r>
    </w:p>
    <w:p w:rsidR="00C56911" w:rsidRDefault="00C56911" w:rsidP="00D5669B">
      <w:pPr>
        <w:pStyle w:val="ListParagraph"/>
        <w:ind w:left="0"/>
        <w:jc w:val="both"/>
        <w:rPr>
          <w:rFonts w:ascii="Constantia" w:hAnsi="Constantia"/>
          <w:sz w:val="28"/>
          <w:szCs w:val="28"/>
        </w:rPr>
      </w:pPr>
    </w:p>
    <w:p w:rsidR="00D5669B" w:rsidRDefault="00641828" w:rsidP="00D5669B">
      <w:pPr>
        <w:pStyle w:val="ListParagraph"/>
        <w:ind w:left="0"/>
        <w:jc w:val="both"/>
        <w:rPr>
          <w:rFonts w:ascii="Constantia" w:hAnsi="Constantia"/>
          <w:sz w:val="28"/>
          <w:szCs w:val="28"/>
        </w:rPr>
      </w:pPr>
      <w:r>
        <w:rPr>
          <w:rFonts w:ascii="Constantia" w:hAnsi="Constantia"/>
          <w:sz w:val="28"/>
          <w:szCs w:val="28"/>
        </w:rPr>
        <w:t>Be that as it may</w:t>
      </w:r>
      <w:r w:rsidR="002A25C6">
        <w:rPr>
          <w:rFonts w:ascii="Constantia" w:hAnsi="Constantia"/>
          <w:sz w:val="28"/>
          <w:szCs w:val="28"/>
        </w:rPr>
        <w:t>, i</w:t>
      </w:r>
      <w:r w:rsidR="002A25C6" w:rsidRPr="0083048D">
        <w:rPr>
          <w:rFonts w:ascii="Constantia" w:hAnsi="Constantia"/>
          <w:sz w:val="28"/>
          <w:szCs w:val="28"/>
        </w:rPr>
        <w:t xml:space="preserve">n the case of </w:t>
      </w:r>
      <w:r w:rsidR="002A25C6" w:rsidRPr="0083048D">
        <w:rPr>
          <w:rFonts w:ascii="Constantia" w:hAnsi="Constantia"/>
          <w:b/>
          <w:sz w:val="28"/>
          <w:szCs w:val="28"/>
          <w:u w:val="single"/>
        </w:rPr>
        <w:t>Mukasa Everisto vs Uganda Criminal Appeal No 43 of 2000</w:t>
      </w:r>
      <w:r w:rsidR="002A25C6" w:rsidRPr="0083048D">
        <w:rPr>
          <w:rFonts w:ascii="Constantia" w:hAnsi="Constantia"/>
          <w:sz w:val="28"/>
          <w:szCs w:val="28"/>
        </w:rPr>
        <w:t xml:space="preserve"> (Supreme Court),</w:t>
      </w:r>
      <w:r w:rsidR="002A25C6" w:rsidRPr="0083048D">
        <w:rPr>
          <w:rFonts w:ascii="Constantia" w:hAnsi="Constantia"/>
          <w:b/>
          <w:sz w:val="28"/>
          <w:szCs w:val="28"/>
        </w:rPr>
        <w:t xml:space="preserve"> </w:t>
      </w:r>
      <w:r w:rsidR="002A25C6" w:rsidRPr="0083048D">
        <w:rPr>
          <w:rFonts w:ascii="Constantia" w:hAnsi="Constantia"/>
          <w:sz w:val="28"/>
          <w:szCs w:val="28"/>
        </w:rPr>
        <w:t>it was held that evidence of a child of tender years that was given on oath did not necessarily require corroboration.</w:t>
      </w:r>
      <w:r w:rsidR="009D2E13" w:rsidRPr="009D2E13">
        <w:rPr>
          <w:rFonts w:ascii="Constantia" w:hAnsi="Constantia"/>
          <w:sz w:val="28"/>
          <w:szCs w:val="28"/>
        </w:rPr>
        <w:t xml:space="preserve"> </w:t>
      </w:r>
      <w:r w:rsidR="00D5669B">
        <w:rPr>
          <w:rFonts w:ascii="Constantia" w:hAnsi="Constantia"/>
          <w:sz w:val="28"/>
          <w:szCs w:val="28"/>
        </w:rPr>
        <w:t xml:space="preserve"> </w:t>
      </w:r>
      <w:r w:rsidR="00FE4862">
        <w:rPr>
          <w:rFonts w:ascii="Constantia" w:hAnsi="Constantia"/>
          <w:sz w:val="28"/>
          <w:szCs w:val="28"/>
        </w:rPr>
        <w:t xml:space="preserve">Further, in the </w:t>
      </w:r>
      <w:r w:rsidR="00FE4862" w:rsidRPr="00101C0F">
        <w:rPr>
          <w:rFonts w:ascii="Constantia" w:hAnsi="Constantia"/>
          <w:sz w:val="28"/>
          <w:szCs w:val="28"/>
        </w:rPr>
        <w:t>later</w:t>
      </w:r>
      <w:r w:rsidR="00FE4862">
        <w:rPr>
          <w:rFonts w:ascii="Constantia" w:hAnsi="Constantia"/>
          <w:sz w:val="28"/>
          <w:szCs w:val="28"/>
        </w:rPr>
        <w:t xml:space="preserve"> case of </w:t>
      </w:r>
      <w:r w:rsidR="00FE4862" w:rsidRPr="002F4084">
        <w:rPr>
          <w:rFonts w:ascii="Constantia" w:hAnsi="Constantia"/>
          <w:b/>
          <w:sz w:val="28"/>
          <w:szCs w:val="28"/>
          <w:u w:val="single"/>
        </w:rPr>
        <w:t>Private Wepukhulu Nyunguli vs Uganda Crim. App. No. 21 of 2001</w:t>
      </w:r>
      <w:r w:rsidR="00FE4862">
        <w:rPr>
          <w:rFonts w:ascii="Constantia" w:hAnsi="Constantia"/>
          <w:sz w:val="28"/>
          <w:szCs w:val="28"/>
        </w:rPr>
        <w:t xml:space="preserve"> </w:t>
      </w:r>
      <w:r w:rsidR="00FE4862" w:rsidRPr="00355632">
        <w:rPr>
          <w:rFonts w:ascii="Constantia" w:hAnsi="Constantia"/>
          <w:sz w:val="28"/>
          <w:szCs w:val="28"/>
        </w:rPr>
        <w:t>(Supreme Court)</w:t>
      </w:r>
      <w:r w:rsidR="00FE4862" w:rsidRPr="00F56982">
        <w:rPr>
          <w:rFonts w:ascii="Constantia" w:hAnsi="Constantia"/>
          <w:sz w:val="28"/>
          <w:szCs w:val="28"/>
        </w:rPr>
        <w:t xml:space="preserve"> </w:t>
      </w:r>
      <w:r w:rsidR="00FE4862">
        <w:rPr>
          <w:rFonts w:ascii="Constantia" w:hAnsi="Constantia"/>
          <w:sz w:val="28"/>
          <w:szCs w:val="28"/>
        </w:rPr>
        <w:t>it was held that ‘</w:t>
      </w:r>
      <w:r w:rsidR="00FE4862" w:rsidRPr="0056185F">
        <w:rPr>
          <w:rFonts w:ascii="Constantia" w:hAnsi="Constantia"/>
          <w:b/>
          <w:sz w:val="28"/>
          <w:szCs w:val="28"/>
        </w:rPr>
        <w:t>normally in sexual offences the victim’s evidence is the best proof of penetration and identification</w:t>
      </w:r>
      <w:r w:rsidR="00FE4862">
        <w:rPr>
          <w:rFonts w:ascii="Constantia" w:hAnsi="Constantia"/>
          <w:sz w:val="28"/>
          <w:szCs w:val="28"/>
        </w:rPr>
        <w:t>.’</w:t>
      </w:r>
    </w:p>
    <w:p w:rsidR="00FE4862" w:rsidRDefault="00FE4862" w:rsidP="00D5669B">
      <w:pPr>
        <w:pStyle w:val="ListParagraph"/>
        <w:ind w:left="0"/>
        <w:jc w:val="both"/>
        <w:rPr>
          <w:rFonts w:ascii="Constantia" w:hAnsi="Constantia"/>
          <w:sz w:val="28"/>
          <w:szCs w:val="28"/>
        </w:rPr>
      </w:pPr>
    </w:p>
    <w:p w:rsidR="00101C0F" w:rsidRDefault="008811D6" w:rsidP="00101C0F">
      <w:pPr>
        <w:pStyle w:val="ListParagraph"/>
        <w:ind w:left="0"/>
        <w:jc w:val="both"/>
        <w:rPr>
          <w:rFonts w:ascii="Constantia" w:hAnsi="Constantia"/>
          <w:sz w:val="28"/>
          <w:szCs w:val="28"/>
        </w:rPr>
      </w:pPr>
      <w:r w:rsidRPr="00101C0F">
        <w:rPr>
          <w:rFonts w:ascii="Constantia" w:hAnsi="Constantia"/>
          <w:sz w:val="28"/>
          <w:szCs w:val="28"/>
        </w:rPr>
        <w:t xml:space="preserve">In </w:t>
      </w:r>
      <w:r w:rsidR="00101C0F">
        <w:rPr>
          <w:rFonts w:ascii="Constantia" w:hAnsi="Constantia"/>
          <w:sz w:val="28"/>
          <w:szCs w:val="28"/>
        </w:rPr>
        <w:t xml:space="preserve">the present case, </w:t>
      </w:r>
      <w:r w:rsidR="00F12347">
        <w:rPr>
          <w:rFonts w:ascii="Constantia" w:hAnsi="Constantia"/>
          <w:sz w:val="28"/>
          <w:szCs w:val="28"/>
        </w:rPr>
        <w:t>PW2 gave evidence on oath therefore this evidence would not necessarily require corroboration.  I</w:t>
      </w:r>
      <w:r w:rsidR="00101C0F">
        <w:rPr>
          <w:rFonts w:ascii="Constantia" w:hAnsi="Constantia"/>
          <w:sz w:val="28"/>
          <w:szCs w:val="28"/>
        </w:rPr>
        <w:t xml:space="preserve">n </w:t>
      </w:r>
      <w:r w:rsidRPr="00101C0F">
        <w:rPr>
          <w:rFonts w:ascii="Constantia" w:hAnsi="Constantia"/>
          <w:sz w:val="28"/>
          <w:szCs w:val="28"/>
        </w:rPr>
        <w:t xml:space="preserve">addition to being a child witness, </w:t>
      </w:r>
      <w:r w:rsidR="00D5669B" w:rsidRPr="00101C0F">
        <w:rPr>
          <w:rFonts w:ascii="Constantia" w:hAnsi="Constantia"/>
          <w:sz w:val="28"/>
          <w:szCs w:val="28"/>
        </w:rPr>
        <w:t xml:space="preserve">PW2 was the victim of </w:t>
      </w:r>
      <w:r w:rsidR="00FE4862" w:rsidRPr="00101C0F">
        <w:rPr>
          <w:rFonts w:ascii="Constantia" w:hAnsi="Constantia"/>
          <w:sz w:val="28"/>
          <w:szCs w:val="28"/>
        </w:rPr>
        <w:t xml:space="preserve">the alleged </w:t>
      </w:r>
      <w:r w:rsidR="00D5669B" w:rsidRPr="00101C0F">
        <w:rPr>
          <w:rFonts w:ascii="Constantia" w:hAnsi="Constantia"/>
          <w:sz w:val="28"/>
          <w:szCs w:val="28"/>
        </w:rPr>
        <w:t>aggravated defilement.  Her evidence</w:t>
      </w:r>
      <w:r w:rsidR="00101C0F">
        <w:rPr>
          <w:rFonts w:ascii="Constantia" w:hAnsi="Constantia"/>
          <w:sz w:val="28"/>
          <w:szCs w:val="28"/>
        </w:rPr>
        <w:t xml:space="preserve"> was quite explicit on the </w:t>
      </w:r>
      <w:r w:rsidR="00F6341D">
        <w:rPr>
          <w:rFonts w:ascii="Constantia" w:hAnsi="Constantia"/>
          <w:sz w:val="28"/>
          <w:szCs w:val="28"/>
        </w:rPr>
        <w:t>issue</w:t>
      </w:r>
      <w:r w:rsidR="00101C0F">
        <w:rPr>
          <w:rFonts w:ascii="Constantia" w:hAnsi="Constantia"/>
          <w:sz w:val="28"/>
          <w:szCs w:val="28"/>
        </w:rPr>
        <w:t xml:space="preserve"> of penetration.  She testified that something was placed in her vagina on the night of 4</w:t>
      </w:r>
      <w:r w:rsidR="00101C0F" w:rsidRPr="003E1AB0">
        <w:rPr>
          <w:rFonts w:ascii="Constantia" w:hAnsi="Constantia"/>
          <w:sz w:val="28"/>
          <w:szCs w:val="28"/>
          <w:vertAlign w:val="superscript"/>
        </w:rPr>
        <w:t>th</w:t>
      </w:r>
      <w:r w:rsidR="00101C0F">
        <w:rPr>
          <w:rFonts w:ascii="Constantia" w:hAnsi="Constantia"/>
          <w:sz w:val="28"/>
          <w:szCs w:val="28"/>
        </w:rPr>
        <w:t xml:space="preserve"> April 20</w:t>
      </w:r>
      <w:r w:rsidR="002D7B2C">
        <w:rPr>
          <w:rFonts w:ascii="Constantia" w:hAnsi="Constantia"/>
          <w:sz w:val="28"/>
          <w:szCs w:val="28"/>
        </w:rPr>
        <w:t>09</w:t>
      </w:r>
      <w:r w:rsidR="00101C0F">
        <w:rPr>
          <w:rFonts w:ascii="Constantia" w:hAnsi="Constantia"/>
          <w:sz w:val="28"/>
          <w:szCs w:val="28"/>
        </w:rPr>
        <w:t>.  As the victim of that sexual act who testified on oath and was subjected to the rigours of cross examination</w:t>
      </w:r>
      <w:r w:rsidR="00F12347">
        <w:rPr>
          <w:rFonts w:ascii="Constantia" w:hAnsi="Constantia"/>
          <w:sz w:val="28"/>
          <w:szCs w:val="28"/>
        </w:rPr>
        <w:t>,</w:t>
      </w:r>
      <w:r w:rsidR="00101C0F">
        <w:rPr>
          <w:rFonts w:ascii="Constantia" w:hAnsi="Constantia"/>
          <w:sz w:val="28"/>
          <w:szCs w:val="28"/>
        </w:rPr>
        <w:t xml:space="preserve"> PW2’s evidence is indeed the best proof of penetration and need not require corroboration in order to secure a conviction.  I am therefore satisfied that the prosecution has proved the fact of penetration beyond reasonable doubt.  Given that the age of the victim thereof was earlier hereinabove found to be under 14 years of age, I do find that the prosecution has proved the offence of aggravated defilement contrary to section 129(3) and (4)(a) beyond reasonable doubt.</w:t>
      </w:r>
    </w:p>
    <w:p w:rsidR="00101C0F" w:rsidRDefault="00101C0F" w:rsidP="00101C0F">
      <w:pPr>
        <w:pStyle w:val="ListParagraph"/>
        <w:ind w:left="0"/>
        <w:jc w:val="both"/>
        <w:rPr>
          <w:rFonts w:ascii="Constantia" w:hAnsi="Constantia"/>
          <w:sz w:val="28"/>
          <w:szCs w:val="28"/>
        </w:rPr>
      </w:pPr>
    </w:p>
    <w:p w:rsidR="00FC55F1" w:rsidRDefault="00F6341D" w:rsidP="004D05C0">
      <w:pPr>
        <w:pStyle w:val="ListParagraph"/>
        <w:ind w:left="0"/>
        <w:jc w:val="both"/>
        <w:rPr>
          <w:rFonts w:ascii="Constantia" w:hAnsi="Constantia"/>
          <w:sz w:val="28"/>
          <w:szCs w:val="28"/>
        </w:rPr>
      </w:pPr>
      <w:r>
        <w:rPr>
          <w:rFonts w:ascii="Constantia" w:hAnsi="Constantia"/>
          <w:sz w:val="28"/>
          <w:szCs w:val="28"/>
        </w:rPr>
        <w:t>The</w:t>
      </w:r>
      <w:r w:rsidR="00DC3219">
        <w:rPr>
          <w:rFonts w:ascii="Constantia" w:hAnsi="Constantia"/>
          <w:sz w:val="28"/>
          <w:szCs w:val="28"/>
        </w:rPr>
        <w:t xml:space="preserve"> question then is whether or not the accused was responsible for or did participate in the </w:t>
      </w:r>
      <w:r>
        <w:rPr>
          <w:rFonts w:ascii="Constantia" w:hAnsi="Constantia"/>
          <w:sz w:val="28"/>
          <w:szCs w:val="28"/>
        </w:rPr>
        <w:t>proven aggravated defilement</w:t>
      </w:r>
      <w:r w:rsidR="00D64EA7">
        <w:rPr>
          <w:rFonts w:ascii="Constantia" w:hAnsi="Constantia"/>
          <w:sz w:val="28"/>
          <w:szCs w:val="28"/>
        </w:rPr>
        <w:t>.</w:t>
      </w:r>
      <w:r w:rsidR="004D05C0">
        <w:rPr>
          <w:rFonts w:ascii="Constantia" w:hAnsi="Constantia"/>
          <w:sz w:val="28"/>
          <w:szCs w:val="28"/>
        </w:rPr>
        <w:t xml:space="preserve">  </w:t>
      </w:r>
      <w:r w:rsidR="00C0375A">
        <w:rPr>
          <w:rFonts w:ascii="Constantia" w:hAnsi="Constantia"/>
          <w:sz w:val="28"/>
          <w:szCs w:val="28"/>
        </w:rPr>
        <w:t>I</w:t>
      </w:r>
      <w:r w:rsidR="0041617F">
        <w:rPr>
          <w:rFonts w:ascii="Constantia" w:hAnsi="Constantia"/>
          <w:sz w:val="28"/>
          <w:szCs w:val="28"/>
        </w:rPr>
        <w:t xml:space="preserve">t is trite law that </w:t>
      </w:r>
      <w:r w:rsidR="0041617F" w:rsidRPr="00F56982">
        <w:rPr>
          <w:rFonts w:ascii="Constantia" w:hAnsi="Constantia"/>
          <w:sz w:val="28"/>
          <w:szCs w:val="28"/>
        </w:rPr>
        <w:t xml:space="preserve">court can convict on </w:t>
      </w:r>
      <w:r w:rsidR="0041617F">
        <w:rPr>
          <w:rFonts w:ascii="Constantia" w:hAnsi="Constantia"/>
          <w:sz w:val="28"/>
          <w:szCs w:val="28"/>
        </w:rPr>
        <w:t>the evidence of a single identification witness</w:t>
      </w:r>
      <w:r w:rsidR="00DF19F2">
        <w:rPr>
          <w:rFonts w:ascii="Constantia" w:hAnsi="Constantia"/>
          <w:sz w:val="28"/>
          <w:szCs w:val="28"/>
        </w:rPr>
        <w:t>, such as PW2,</w:t>
      </w:r>
      <w:r w:rsidR="0041617F" w:rsidRPr="00F56982">
        <w:rPr>
          <w:rFonts w:ascii="Constantia" w:hAnsi="Constantia"/>
          <w:sz w:val="28"/>
          <w:szCs w:val="28"/>
        </w:rPr>
        <w:t xml:space="preserve"> </w:t>
      </w:r>
      <w:r w:rsidR="00C0375A">
        <w:rPr>
          <w:rFonts w:ascii="Constantia" w:hAnsi="Constantia"/>
          <w:sz w:val="28"/>
          <w:szCs w:val="28"/>
        </w:rPr>
        <w:t xml:space="preserve">albeit </w:t>
      </w:r>
      <w:r w:rsidR="0041617F" w:rsidRPr="00F56982">
        <w:rPr>
          <w:rFonts w:ascii="Constantia" w:hAnsi="Constantia"/>
          <w:sz w:val="28"/>
          <w:szCs w:val="28"/>
        </w:rPr>
        <w:t xml:space="preserve">after warning itself and the assessors of the special need for caution before convicting on reliance of the correctness of the identification.  The reason for special need for caution is that there is a possibility that the witness might be mistaken.  </w:t>
      </w:r>
      <w:r w:rsidR="0041617F">
        <w:rPr>
          <w:rFonts w:ascii="Constantia" w:hAnsi="Constantia"/>
          <w:sz w:val="28"/>
          <w:szCs w:val="28"/>
        </w:rPr>
        <w:t xml:space="preserve">See </w:t>
      </w:r>
      <w:r w:rsidR="0041617F" w:rsidRPr="002F4084">
        <w:rPr>
          <w:rFonts w:ascii="Constantia" w:hAnsi="Constantia"/>
          <w:b/>
          <w:sz w:val="28"/>
          <w:szCs w:val="28"/>
          <w:u w:val="single"/>
        </w:rPr>
        <w:t>Abdala Nabulere &amp; Another vs Uganda</w:t>
      </w:r>
      <w:r w:rsidR="0041617F" w:rsidRPr="002F4084">
        <w:rPr>
          <w:rFonts w:ascii="Constantia" w:hAnsi="Constantia"/>
          <w:sz w:val="28"/>
          <w:szCs w:val="28"/>
          <w:u w:val="single"/>
        </w:rPr>
        <w:t xml:space="preserve"> </w:t>
      </w:r>
      <w:r w:rsidR="0041617F" w:rsidRPr="00DD4751">
        <w:rPr>
          <w:rFonts w:ascii="Constantia" w:hAnsi="Constantia"/>
          <w:b/>
          <w:sz w:val="28"/>
          <w:szCs w:val="28"/>
          <w:u w:val="single"/>
        </w:rPr>
        <w:t>Crim.</w:t>
      </w:r>
      <w:r w:rsidR="0041617F" w:rsidRPr="00DD4751">
        <w:rPr>
          <w:rFonts w:ascii="Constantia" w:hAnsi="Constantia"/>
          <w:sz w:val="28"/>
          <w:szCs w:val="28"/>
          <w:u w:val="single"/>
        </w:rPr>
        <w:t xml:space="preserve"> </w:t>
      </w:r>
      <w:r w:rsidR="0041617F" w:rsidRPr="00DD4751">
        <w:rPr>
          <w:rFonts w:ascii="Constantia" w:hAnsi="Constantia"/>
          <w:b/>
          <w:sz w:val="28"/>
          <w:szCs w:val="28"/>
          <w:u w:val="single"/>
        </w:rPr>
        <w:t>Appeal No. 9 of 1978</w:t>
      </w:r>
      <w:r w:rsidR="0041617F" w:rsidRPr="00770564">
        <w:rPr>
          <w:rFonts w:ascii="Constantia" w:hAnsi="Constantia"/>
          <w:sz w:val="28"/>
          <w:szCs w:val="28"/>
        </w:rPr>
        <w:t xml:space="preserve"> </w:t>
      </w:r>
      <w:r w:rsidR="0041617F">
        <w:rPr>
          <w:rFonts w:ascii="Constantia" w:hAnsi="Constantia"/>
          <w:sz w:val="28"/>
          <w:szCs w:val="28"/>
        </w:rPr>
        <w:t xml:space="preserve">and </w:t>
      </w:r>
      <w:r w:rsidR="0041617F" w:rsidRPr="00F56982">
        <w:rPr>
          <w:rFonts w:ascii="Constantia" w:hAnsi="Constantia"/>
          <w:b/>
          <w:sz w:val="28"/>
          <w:szCs w:val="28"/>
          <w:u w:val="single"/>
        </w:rPr>
        <w:t>Christopher Byagonza vs Uganda Crim. Appeal No. 25 of 1997</w:t>
      </w:r>
      <w:r w:rsidR="0041617F" w:rsidRPr="00F56982">
        <w:rPr>
          <w:rFonts w:ascii="Constantia" w:hAnsi="Constantia"/>
          <w:sz w:val="28"/>
          <w:szCs w:val="28"/>
        </w:rPr>
        <w:t>.</w:t>
      </w:r>
      <w:r w:rsidR="0041617F">
        <w:rPr>
          <w:rFonts w:ascii="Constantia" w:hAnsi="Constantia"/>
          <w:sz w:val="28"/>
          <w:szCs w:val="28"/>
        </w:rPr>
        <w:t xml:space="preserve">  </w:t>
      </w:r>
    </w:p>
    <w:p w:rsidR="00FC55F1" w:rsidRDefault="00FC55F1" w:rsidP="004D05C0">
      <w:pPr>
        <w:pStyle w:val="ListParagraph"/>
        <w:ind w:left="0"/>
        <w:jc w:val="both"/>
        <w:rPr>
          <w:rFonts w:ascii="Constantia" w:hAnsi="Constantia"/>
          <w:sz w:val="28"/>
          <w:szCs w:val="28"/>
        </w:rPr>
      </w:pPr>
    </w:p>
    <w:p w:rsidR="004D05C0" w:rsidRPr="00EC465D" w:rsidRDefault="00DF19F2" w:rsidP="004D05C0">
      <w:pPr>
        <w:pStyle w:val="ListParagraph"/>
        <w:ind w:left="0"/>
        <w:jc w:val="both"/>
        <w:rPr>
          <w:rFonts w:ascii="Constantia" w:hAnsi="Constantia"/>
          <w:sz w:val="28"/>
          <w:szCs w:val="28"/>
        </w:rPr>
      </w:pPr>
      <w:r w:rsidRPr="00DF19F2">
        <w:rPr>
          <w:rFonts w:ascii="Constantia" w:hAnsi="Constantia"/>
          <w:sz w:val="28"/>
          <w:szCs w:val="28"/>
        </w:rPr>
        <w:t>I am</w:t>
      </w:r>
      <w:r>
        <w:rPr>
          <w:rFonts w:ascii="Constantia" w:hAnsi="Constantia"/>
          <w:sz w:val="28"/>
          <w:szCs w:val="28"/>
        </w:rPr>
        <w:t>, therefore,</w:t>
      </w:r>
      <w:r w:rsidRPr="00DF19F2">
        <w:rPr>
          <w:rFonts w:ascii="Constantia" w:hAnsi="Constantia"/>
          <w:sz w:val="28"/>
          <w:szCs w:val="28"/>
        </w:rPr>
        <w:t xml:space="preserve"> mindful of the need for caution (and do so caution myself) before I rely on PW2’s identification evidence for a conviction.  </w:t>
      </w:r>
      <w:r w:rsidR="00046A03">
        <w:rPr>
          <w:rFonts w:ascii="Constantia" w:hAnsi="Constantia"/>
          <w:sz w:val="28"/>
          <w:szCs w:val="28"/>
        </w:rPr>
        <w:t>A</w:t>
      </w:r>
      <w:r w:rsidR="00FC55F1">
        <w:rPr>
          <w:rFonts w:ascii="Constantia" w:hAnsi="Constantia"/>
          <w:sz w:val="28"/>
          <w:szCs w:val="28"/>
        </w:rPr>
        <w:t>lthough</w:t>
      </w:r>
      <w:r w:rsidR="00046A03">
        <w:rPr>
          <w:rFonts w:ascii="Constantia" w:hAnsi="Constantia"/>
          <w:sz w:val="28"/>
          <w:szCs w:val="28"/>
        </w:rPr>
        <w:t xml:space="preserve">, as expounded in </w:t>
      </w:r>
      <w:r w:rsidR="00FC55F1" w:rsidRPr="002F4084">
        <w:rPr>
          <w:rFonts w:ascii="Constantia" w:hAnsi="Constantia"/>
          <w:b/>
          <w:sz w:val="28"/>
          <w:szCs w:val="28"/>
          <w:u w:val="single"/>
        </w:rPr>
        <w:t>Private Wepukhulu Nyunguli vs Uganda</w:t>
      </w:r>
      <w:r w:rsidR="00FC55F1">
        <w:rPr>
          <w:rFonts w:ascii="Constantia" w:hAnsi="Constantia"/>
          <w:sz w:val="28"/>
          <w:szCs w:val="28"/>
        </w:rPr>
        <w:t xml:space="preserve"> (supra)</w:t>
      </w:r>
      <w:r w:rsidR="00046A03">
        <w:rPr>
          <w:rFonts w:ascii="Constantia" w:hAnsi="Constantia"/>
          <w:sz w:val="28"/>
          <w:szCs w:val="28"/>
        </w:rPr>
        <w:t>,</w:t>
      </w:r>
      <w:r w:rsidR="00FC55F1">
        <w:rPr>
          <w:rFonts w:ascii="Constantia" w:hAnsi="Constantia"/>
          <w:sz w:val="28"/>
          <w:szCs w:val="28"/>
        </w:rPr>
        <w:t xml:space="preserve"> the victim’s evidence </w:t>
      </w:r>
      <w:r w:rsidR="00046A03">
        <w:rPr>
          <w:rFonts w:ascii="Constantia" w:hAnsi="Constantia"/>
          <w:sz w:val="28"/>
          <w:szCs w:val="28"/>
        </w:rPr>
        <w:t>i</w:t>
      </w:r>
      <w:r w:rsidR="00FC55F1">
        <w:rPr>
          <w:rFonts w:ascii="Constantia" w:hAnsi="Constantia"/>
          <w:sz w:val="28"/>
          <w:szCs w:val="28"/>
        </w:rPr>
        <w:t xml:space="preserve">s the best proof of identification in sexual offences </w:t>
      </w:r>
      <w:r w:rsidR="00580499">
        <w:rPr>
          <w:rFonts w:ascii="Constantia" w:hAnsi="Constantia"/>
          <w:sz w:val="28"/>
          <w:szCs w:val="28"/>
        </w:rPr>
        <w:t xml:space="preserve">such evidence should, in my view, be subjected to the test of correct identification </w:t>
      </w:r>
      <w:r w:rsidR="00046A03">
        <w:rPr>
          <w:rFonts w:ascii="Constantia" w:hAnsi="Constantia"/>
          <w:sz w:val="28"/>
          <w:szCs w:val="28"/>
        </w:rPr>
        <w:t>to ascertain its accuracy.  The test of correct identification was outlined</w:t>
      </w:r>
      <w:r w:rsidR="00580499">
        <w:rPr>
          <w:rFonts w:ascii="Constantia" w:hAnsi="Constantia"/>
          <w:sz w:val="28"/>
          <w:szCs w:val="28"/>
        </w:rPr>
        <w:t xml:space="preserve"> in </w:t>
      </w:r>
      <w:r w:rsidR="004D05C0" w:rsidRPr="002F4084">
        <w:rPr>
          <w:rFonts w:ascii="Constantia" w:hAnsi="Constantia"/>
          <w:b/>
          <w:sz w:val="28"/>
          <w:szCs w:val="28"/>
          <w:u w:val="single"/>
        </w:rPr>
        <w:t>Abdala Nabulere &amp; Another vs Uganda</w:t>
      </w:r>
      <w:r w:rsidR="004D05C0" w:rsidRPr="005E368D">
        <w:rPr>
          <w:rFonts w:ascii="Constantia" w:hAnsi="Constantia"/>
          <w:sz w:val="28"/>
          <w:szCs w:val="28"/>
        </w:rPr>
        <w:t xml:space="preserve"> (supra)</w:t>
      </w:r>
      <w:r w:rsidR="004D05C0" w:rsidRPr="006C4A87">
        <w:rPr>
          <w:rFonts w:ascii="Constantia" w:hAnsi="Constantia"/>
          <w:sz w:val="28"/>
          <w:szCs w:val="28"/>
        </w:rPr>
        <w:t xml:space="preserve"> </w:t>
      </w:r>
      <w:r w:rsidR="004D05C0" w:rsidRPr="00EC465D">
        <w:rPr>
          <w:rFonts w:ascii="Constantia" w:hAnsi="Constantia"/>
          <w:sz w:val="28"/>
          <w:szCs w:val="28"/>
        </w:rPr>
        <w:t>as follows:</w:t>
      </w:r>
    </w:p>
    <w:p w:rsidR="004D05C0" w:rsidRPr="00EC465D" w:rsidRDefault="004D05C0" w:rsidP="004D05C0">
      <w:pPr>
        <w:pStyle w:val="ListParagraph"/>
        <w:jc w:val="both"/>
        <w:rPr>
          <w:rFonts w:ascii="Constantia" w:hAnsi="Constantia"/>
          <w:sz w:val="28"/>
          <w:szCs w:val="28"/>
        </w:rPr>
      </w:pPr>
      <w:r w:rsidRPr="00EC465D">
        <w:rPr>
          <w:rFonts w:ascii="Constantia" w:hAnsi="Constantia"/>
          <w:sz w:val="28"/>
          <w:szCs w:val="28"/>
        </w:rPr>
        <w:t>“</w:t>
      </w:r>
      <w:r w:rsidRPr="00EC465D">
        <w:rPr>
          <w:rFonts w:ascii="Constantia" w:hAnsi="Constantia"/>
          <w:b/>
          <w:sz w:val="28"/>
          <w:szCs w:val="28"/>
        </w:rPr>
        <w:t>The court must closely examine the circumstances in which the identification was made.  These include the length of time the accused was under observation, the distance between the witness and the accused, the lighting and the familiarity of the witness with the accused.  All these factors go to the quality of the identification evidence.  If the quality is good then the danger of mistaken identity is reduced.  The poorer the quality, the greater the danger.</w:t>
      </w:r>
      <w:r w:rsidRPr="00EC465D">
        <w:rPr>
          <w:rFonts w:ascii="Constantia" w:hAnsi="Constantia"/>
          <w:sz w:val="28"/>
          <w:szCs w:val="28"/>
        </w:rPr>
        <w:t>”</w:t>
      </w:r>
    </w:p>
    <w:p w:rsidR="0041617F" w:rsidRDefault="0041617F" w:rsidP="0041617F">
      <w:pPr>
        <w:pStyle w:val="ListParagraph"/>
        <w:ind w:left="0"/>
        <w:jc w:val="both"/>
        <w:rPr>
          <w:rFonts w:ascii="Constantia" w:hAnsi="Constantia"/>
          <w:sz w:val="28"/>
          <w:szCs w:val="28"/>
        </w:rPr>
      </w:pPr>
    </w:p>
    <w:p w:rsidR="0012142B" w:rsidRDefault="0012142B" w:rsidP="0012142B">
      <w:pPr>
        <w:pStyle w:val="ListParagraph"/>
        <w:ind w:left="0"/>
        <w:jc w:val="both"/>
        <w:rPr>
          <w:rFonts w:ascii="Constantia" w:hAnsi="Constantia"/>
          <w:sz w:val="28"/>
          <w:szCs w:val="28"/>
        </w:rPr>
      </w:pPr>
      <w:r w:rsidRPr="00EC465D">
        <w:rPr>
          <w:rFonts w:ascii="Constantia" w:hAnsi="Constantia"/>
          <w:sz w:val="28"/>
          <w:szCs w:val="28"/>
        </w:rPr>
        <w:t>In the present case,</w:t>
      </w:r>
      <w:r>
        <w:rPr>
          <w:rFonts w:ascii="Constantia" w:hAnsi="Constantia"/>
          <w:sz w:val="28"/>
          <w:szCs w:val="28"/>
        </w:rPr>
        <w:t xml:space="preserve"> PW2 did not </w:t>
      </w:r>
      <w:r w:rsidR="00023D55">
        <w:rPr>
          <w:rFonts w:ascii="Constantia" w:hAnsi="Constantia"/>
          <w:sz w:val="28"/>
          <w:szCs w:val="28"/>
        </w:rPr>
        <w:t xml:space="preserve">testify to </w:t>
      </w:r>
      <w:r>
        <w:rPr>
          <w:rFonts w:ascii="Constantia" w:hAnsi="Constantia"/>
          <w:sz w:val="28"/>
          <w:szCs w:val="28"/>
        </w:rPr>
        <w:t xml:space="preserve">the source of light </w:t>
      </w:r>
      <w:r w:rsidR="00C12CCA">
        <w:rPr>
          <w:rFonts w:ascii="Constantia" w:hAnsi="Constantia"/>
          <w:sz w:val="28"/>
          <w:szCs w:val="28"/>
        </w:rPr>
        <w:t xml:space="preserve">that was available to her for identification purposes </w:t>
      </w:r>
      <w:r>
        <w:rPr>
          <w:rFonts w:ascii="Constantia" w:hAnsi="Constantia"/>
          <w:sz w:val="28"/>
          <w:szCs w:val="28"/>
        </w:rPr>
        <w:t xml:space="preserve">or the length of time </w:t>
      </w:r>
      <w:r w:rsidR="00023D55">
        <w:rPr>
          <w:rFonts w:ascii="Constantia" w:hAnsi="Constantia"/>
          <w:sz w:val="28"/>
          <w:szCs w:val="28"/>
        </w:rPr>
        <w:t>t</w:t>
      </w:r>
      <w:r>
        <w:rPr>
          <w:rFonts w:ascii="Constantia" w:hAnsi="Constantia"/>
          <w:sz w:val="28"/>
          <w:szCs w:val="28"/>
        </w:rPr>
        <w:t xml:space="preserve">he </w:t>
      </w:r>
      <w:r w:rsidR="00023D55">
        <w:rPr>
          <w:rFonts w:ascii="Constantia" w:hAnsi="Constantia"/>
          <w:sz w:val="28"/>
          <w:szCs w:val="28"/>
        </w:rPr>
        <w:t xml:space="preserve">accused </w:t>
      </w:r>
      <w:r>
        <w:rPr>
          <w:rFonts w:ascii="Constantia" w:hAnsi="Constantia"/>
          <w:sz w:val="28"/>
          <w:szCs w:val="28"/>
        </w:rPr>
        <w:t xml:space="preserve">was under </w:t>
      </w:r>
      <w:r w:rsidR="00023D55">
        <w:rPr>
          <w:rFonts w:ascii="Constantia" w:hAnsi="Constantia"/>
          <w:sz w:val="28"/>
          <w:szCs w:val="28"/>
        </w:rPr>
        <w:t xml:space="preserve">her </w:t>
      </w:r>
      <w:r>
        <w:rPr>
          <w:rFonts w:ascii="Constantia" w:hAnsi="Constantia"/>
          <w:sz w:val="28"/>
          <w:szCs w:val="28"/>
        </w:rPr>
        <w:t xml:space="preserve">observation.  </w:t>
      </w:r>
      <w:r w:rsidR="000F5996">
        <w:rPr>
          <w:rFonts w:ascii="Constantia" w:hAnsi="Constantia"/>
          <w:sz w:val="28"/>
          <w:szCs w:val="28"/>
        </w:rPr>
        <w:t>While this court takes cognisance of the fact that a sexual act such as has been proved in the present case does occur with very close proximity between a victim and his/ her assailant, in the absence of evidence o</w:t>
      </w:r>
      <w:r w:rsidR="00CD4E4F">
        <w:rPr>
          <w:rFonts w:ascii="Constantia" w:hAnsi="Constantia"/>
          <w:sz w:val="28"/>
          <w:szCs w:val="28"/>
        </w:rPr>
        <w:t>n</w:t>
      </w:r>
      <w:r w:rsidR="000F5996">
        <w:rPr>
          <w:rFonts w:ascii="Constantia" w:hAnsi="Constantia"/>
          <w:sz w:val="28"/>
          <w:szCs w:val="28"/>
        </w:rPr>
        <w:t xml:space="preserve"> the lighting </w:t>
      </w:r>
      <w:r w:rsidR="00CD4E4F">
        <w:rPr>
          <w:rFonts w:ascii="Constantia" w:hAnsi="Constantia"/>
          <w:sz w:val="28"/>
          <w:szCs w:val="28"/>
        </w:rPr>
        <w:t xml:space="preserve">that was </w:t>
      </w:r>
      <w:r w:rsidR="000F5996">
        <w:rPr>
          <w:rFonts w:ascii="Constantia" w:hAnsi="Constantia"/>
          <w:sz w:val="28"/>
          <w:szCs w:val="28"/>
        </w:rPr>
        <w:t xml:space="preserve">available and </w:t>
      </w:r>
      <w:r w:rsidR="00CD4E4F">
        <w:rPr>
          <w:rFonts w:ascii="Constantia" w:hAnsi="Constantia"/>
          <w:sz w:val="28"/>
          <w:szCs w:val="28"/>
        </w:rPr>
        <w:t xml:space="preserve">the </w:t>
      </w:r>
      <w:r w:rsidR="000F5996">
        <w:rPr>
          <w:rFonts w:ascii="Constantia" w:hAnsi="Constantia"/>
          <w:sz w:val="28"/>
          <w:szCs w:val="28"/>
        </w:rPr>
        <w:t xml:space="preserve">length of time such assailant was under scrutiny the accuracy of the purported identification is </w:t>
      </w:r>
      <w:r w:rsidR="00CD4E4F">
        <w:rPr>
          <w:rFonts w:ascii="Constantia" w:hAnsi="Constantia"/>
          <w:sz w:val="28"/>
          <w:szCs w:val="28"/>
        </w:rPr>
        <w:t>compromised</w:t>
      </w:r>
      <w:r w:rsidR="000F5996">
        <w:rPr>
          <w:rFonts w:ascii="Constantia" w:hAnsi="Constantia"/>
          <w:sz w:val="28"/>
          <w:szCs w:val="28"/>
        </w:rPr>
        <w:t xml:space="preserve">.  I therefore find that the direct evidence </w:t>
      </w:r>
      <w:r w:rsidR="006553F9">
        <w:rPr>
          <w:rFonts w:ascii="Constantia" w:hAnsi="Constantia"/>
          <w:sz w:val="28"/>
          <w:szCs w:val="28"/>
        </w:rPr>
        <w:t>adduced by</w:t>
      </w:r>
      <w:r w:rsidR="000F5996">
        <w:rPr>
          <w:rFonts w:ascii="Constantia" w:hAnsi="Constantia"/>
          <w:sz w:val="28"/>
          <w:szCs w:val="28"/>
        </w:rPr>
        <w:t xml:space="preserve"> PW2 did not </w:t>
      </w:r>
      <w:r w:rsidR="006553F9">
        <w:rPr>
          <w:rFonts w:ascii="Constantia" w:hAnsi="Constantia"/>
          <w:sz w:val="28"/>
          <w:szCs w:val="28"/>
        </w:rPr>
        <w:t xml:space="preserve">prove </w:t>
      </w:r>
      <w:r w:rsidR="000F5996">
        <w:rPr>
          <w:rFonts w:ascii="Constantia" w:hAnsi="Constantia"/>
          <w:sz w:val="28"/>
          <w:szCs w:val="28"/>
        </w:rPr>
        <w:t xml:space="preserve">the alleged participation of the accused </w:t>
      </w:r>
      <w:r w:rsidR="006553F9">
        <w:rPr>
          <w:rFonts w:ascii="Constantia" w:hAnsi="Constantia"/>
          <w:sz w:val="28"/>
          <w:szCs w:val="28"/>
        </w:rPr>
        <w:t>beyond reasonable doubt.</w:t>
      </w:r>
      <w:r w:rsidR="000F5996">
        <w:rPr>
          <w:rFonts w:ascii="Constantia" w:hAnsi="Constantia"/>
          <w:sz w:val="28"/>
          <w:szCs w:val="28"/>
        </w:rPr>
        <w:t xml:space="preserve">  </w:t>
      </w:r>
    </w:p>
    <w:p w:rsidR="0012142B" w:rsidRDefault="0012142B" w:rsidP="0012142B">
      <w:pPr>
        <w:pStyle w:val="ListParagraph"/>
        <w:ind w:left="0"/>
        <w:jc w:val="both"/>
        <w:rPr>
          <w:rFonts w:ascii="Constantia" w:hAnsi="Constantia"/>
          <w:sz w:val="28"/>
          <w:szCs w:val="28"/>
        </w:rPr>
      </w:pPr>
    </w:p>
    <w:p w:rsidR="00603C45" w:rsidRPr="008F6BF7" w:rsidRDefault="006553F9" w:rsidP="00F43665">
      <w:pPr>
        <w:pStyle w:val="ListParagraph"/>
        <w:ind w:left="0"/>
        <w:jc w:val="both"/>
        <w:rPr>
          <w:rFonts w:ascii="Constantia" w:hAnsi="Constantia"/>
          <w:sz w:val="28"/>
          <w:szCs w:val="28"/>
        </w:rPr>
      </w:pPr>
      <w:r>
        <w:rPr>
          <w:rFonts w:ascii="Constantia" w:hAnsi="Constantia"/>
          <w:sz w:val="28"/>
          <w:szCs w:val="28"/>
        </w:rPr>
        <w:t>Be that as it may</w:t>
      </w:r>
      <w:r w:rsidR="00F43665">
        <w:rPr>
          <w:rFonts w:ascii="Constantia" w:hAnsi="Constantia"/>
          <w:sz w:val="28"/>
          <w:szCs w:val="28"/>
        </w:rPr>
        <w:t xml:space="preserve">, it is trite law that since </w:t>
      </w:r>
      <w:r w:rsidR="00F43665" w:rsidRPr="00F43665">
        <w:rPr>
          <w:rFonts w:ascii="Constantia" w:hAnsi="Constantia"/>
          <w:sz w:val="28"/>
          <w:szCs w:val="28"/>
        </w:rPr>
        <w:t>many crimes are committed in secrecy, it is inevitable that in a criminal trial, direct proof of guilt is often lacking and a great deal of the evidence is indirect and circumstantial. In the absence of evidence directly proving the facts in issue, the defendant may even be convicted solely on circumstantial evidence.</w:t>
      </w:r>
      <w:r w:rsidR="00F43665">
        <w:rPr>
          <w:rFonts w:ascii="Constantia" w:hAnsi="Constantia"/>
          <w:sz w:val="28"/>
          <w:szCs w:val="28"/>
        </w:rPr>
        <w:t xml:space="preserve">  See </w:t>
      </w:r>
      <w:r w:rsidR="00603C45" w:rsidRPr="00B0490F">
        <w:rPr>
          <w:rFonts w:ascii="Constantia" w:hAnsi="Constantia"/>
          <w:b/>
          <w:sz w:val="28"/>
          <w:szCs w:val="28"/>
          <w:u w:val="single"/>
        </w:rPr>
        <w:t>Halsbury’s Laws of England (2006) p. 744</w:t>
      </w:r>
      <w:r w:rsidR="00F43665" w:rsidRPr="00F43665">
        <w:rPr>
          <w:rFonts w:ascii="Constantia" w:hAnsi="Constantia"/>
          <w:sz w:val="28"/>
          <w:szCs w:val="28"/>
        </w:rPr>
        <w:t>.</w:t>
      </w:r>
      <w:r w:rsidR="00603C45" w:rsidRPr="008F6BF7">
        <w:rPr>
          <w:rFonts w:ascii="Constantia" w:hAnsi="Constantia"/>
          <w:sz w:val="28"/>
          <w:szCs w:val="28"/>
        </w:rPr>
        <w:t xml:space="preserve"> </w:t>
      </w:r>
    </w:p>
    <w:p w:rsidR="00603C45" w:rsidRPr="008F6BF7" w:rsidRDefault="00603C45" w:rsidP="00603C45">
      <w:pPr>
        <w:pStyle w:val="ListParagraph"/>
        <w:ind w:left="0"/>
        <w:jc w:val="both"/>
        <w:rPr>
          <w:rFonts w:ascii="Constantia" w:hAnsi="Constantia"/>
          <w:sz w:val="28"/>
          <w:szCs w:val="28"/>
        </w:rPr>
      </w:pPr>
      <w:r w:rsidRPr="008F6BF7">
        <w:rPr>
          <w:rFonts w:ascii="Constantia" w:hAnsi="Constantia"/>
          <w:sz w:val="28"/>
          <w:szCs w:val="28"/>
        </w:rPr>
        <w:t xml:space="preserve">  </w:t>
      </w:r>
    </w:p>
    <w:p w:rsidR="00C049EE" w:rsidRPr="008F6BF7" w:rsidRDefault="00C049EE" w:rsidP="00C049EE">
      <w:pPr>
        <w:pStyle w:val="ListParagraph"/>
        <w:ind w:left="0"/>
        <w:jc w:val="both"/>
        <w:rPr>
          <w:rFonts w:ascii="Constantia" w:hAnsi="Constantia"/>
          <w:sz w:val="28"/>
          <w:szCs w:val="28"/>
        </w:rPr>
      </w:pPr>
      <w:r>
        <w:rPr>
          <w:rFonts w:ascii="Constantia" w:hAnsi="Constantia"/>
          <w:sz w:val="28"/>
          <w:szCs w:val="28"/>
        </w:rPr>
        <w:t>Further, i</w:t>
      </w:r>
      <w:r w:rsidRPr="008F6BF7">
        <w:rPr>
          <w:rFonts w:ascii="Constantia" w:hAnsi="Constantia"/>
          <w:sz w:val="28"/>
          <w:szCs w:val="28"/>
        </w:rPr>
        <w:t xml:space="preserve">n </w:t>
      </w:r>
      <w:r>
        <w:rPr>
          <w:rFonts w:ascii="Constantia" w:hAnsi="Constantia"/>
          <w:sz w:val="28"/>
          <w:szCs w:val="28"/>
        </w:rPr>
        <w:t xml:space="preserve">the case of </w:t>
      </w:r>
      <w:r w:rsidRPr="00B0490F">
        <w:rPr>
          <w:rFonts w:ascii="Constantia" w:hAnsi="Constantia"/>
          <w:b/>
          <w:sz w:val="28"/>
          <w:szCs w:val="28"/>
          <w:u w:val="single"/>
        </w:rPr>
        <w:t>Mureeba Janet &amp; Others vs Uganda Crim. Appeal No. 13 of 2003</w:t>
      </w:r>
      <w:r w:rsidR="00534602">
        <w:rPr>
          <w:rFonts w:ascii="Constantia" w:hAnsi="Constantia"/>
          <w:sz w:val="28"/>
          <w:szCs w:val="28"/>
        </w:rPr>
        <w:t xml:space="preserve"> (</w:t>
      </w:r>
      <w:r w:rsidR="00534602" w:rsidRPr="00534602">
        <w:rPr>
          <w:rFonts w:ascii="Constantia" w:hAnsi="Constantia"/>
          <w:sz w:val="28"/>
          <w:szCs w:val="28"/>
        </w:rPr>
        <w:t>Supreme Court</w:t>
      </w:r>
      <w:r w:rsidR="00534602">
        <w:rPr>
          <w:rFonts w:ascii="Constantia" w:hAnsi="Constantia"/>
          <w:sz w:val="28"/>
          <w:szCs w:val="28"/>
        </w:rPr>
        <w:t>)</w:t>
      </w:r>
      <w:r w:rsidRPr="008F6BF7">
        <w:rPr>
          <w:rFonts w:ascii="Constantia" w:hAnsi="Constantia"/>
          <w:sz w:val="28"/>
          <w:szCs w:val="28"/>
        </w:rPr>
        <w:t>, the</w:t>
      </w:r>
      <w:r>
        <w:rPr>
          <w:rFonts w:ascii="Constantia" w:hAnsi="Constantia"/>
          <w:sz w:val="28"/>
          <w:szCs w:val="28"/>
        </w:rPr>
        <w:t>ir Lordships</w:t>
      </w:r>
      <w:r w:rsidRPr="008F6BF7">
        <w:rPr>
          <w:rFonts w:ascii="Constantia" w:hAnsi="Constantia"/>
          <w:sz w:val="28"/>
          <w:szCs w:val="28"/>
        </w:rPr>
        <w:t xml:space="preserve"> cited with approval the decision in </w:t>
      </w:r>
      <w:r w:rsidRPr="00B0490F">
        <w:rPr>
          <w:rFonts w:ascii="Constantia" w:hAnsi="Constantia"/>
          <w:b/>
          <w:sz w:val="28"/>
          <w:szCs w:val="28"/>
          <w:u w:val="single"/>
        </w:rPr>
        <w:t>R. vs Kipkering Arap Koske &amp; Another (1949) 16 EACA 135</w:t>
      </w:r>
      <w:r w:rsidRPr="008F6BF7">
        <w:rPr>
          <w:rFonts w:ascii="Constantia" w:hAnsi="Constantia"/>
          <w:sz w:val="28"/>
          <w:szCs w:val="28"/>
        </w:rPr>
        <w:t>, where it was held that ‘</w:t>
      </w:r>
      <w:r w:rsidRPr="008F6BF7">
        <w:rPr>
          <w:rFonts w:ascii="Constantia" w:hAnsi="Constantia"/>
          <w:b/>
          <w:sz w:val="28"/>
          <w:szCs w:val="28"/>
        </w:rPr>
        <w:t>in order to justify, on circumstantial evidence, the inference of guilt, the inculpatory facts must be incompatible with the innocence of the accused and incapable of explanation on any other reasonable hypothesis than that of guilt</w:t>
      </w:r>
      <w:r w:rsidRPr="008F6BF7">
        <w:rPr>
          <w:rFonts w:ascii="Constantia" w:hAnsi="Constantia"/>
          <w:sz w:val="28"/>
          <w:szCs w:val="28"/>
        </w:rPr>
        <w:t>.’</w:t>
      </w:r>
    </w:p>
    <w:p w:rsidR="00C049EE" w:rsidRDefault="00C049EE" w:rsidP="00603C45">
      <w:pPr>
        <w:pStyle w:val="ListParagraph"/>
        <w:ind w:left="0"/>
        <w:jc w:val="both"/>
        <w:rPr>
          <w:rFonts w:ascii="Constantia" w:hAnsi="Constantia"/>
          <w:sz w:val="28"/>
          <w:szCs w:val="28"/>
        </w:rPr>
      </w:pPr>
    </w:p>
    <w:p w:rsidR="005F36D6" w:rsidRDefault="00F43665" w:rsidP="005F36D6">
      <w:pPr>
        <w:pStyle w:val="ListParagraph"/>
        <w:ind w:left="0"/>
        <w:jc w:val="both"/>
        <w:rPr>
          <w:rFonts w:ascii="Constantia" w:hAnsi="Constantia"/>
          <w:sz w:val="28"/>
          <w:szCs w:val="28"/>
        </w:rPr>
      </w:pPr>
      <w:r>
        <w:rPr>
          <w:rFonts w:ascii="Constantia" w:hAnsi="Constantia"/>
          <w:sz w:val="28"/>
          <w:szCs w:val="28"/>
        </w:rPr>
        <w:t>In the present case, it was the evidence of PW1 that she saw the accused running away from t</w:t>
      </w:r>
      <w:r w:rsidR="00C049EE">
        <w:rPr>
          <w:rFonts w:ascii="Constantia" w:hAnsi="Constantia"/>
          <w:sz w:val="28"/>
          <w:szCs w:val="28"/>
        </w:rPr>
        <w:t xml:space="preserve">he room where PW2 was sleeping; she then found PW2 soaked in semen and later observed semen around the child’s private parts.  The same witness testified that PW2 told her that while she (PW1) went to seek the help of the neighbours the accused cleaned </w:t>
      </w:r>
      <w:r w:rsidR="00641828">
        <w:rPr>
          <w:rFonts w:ascii="Constantia" w:hAnsi="Constantia"/>
          <w:sz w:val="28"/>
          <w:szCs w:val="28"/>
        </w:rPr>
        <w:t xml:space="preserve">off </w:t>
      </w:r>
      <w:r w:rsidR="00C049EE">
        <w:rPr>
          <w:rFonts w:ascii="Constantia" w:hAnsi="Constantia"/>
          <w:sz w:val="28"/>
          <w:szCs w:val="28"/>
        </w:rPr>
        <w:t xml:space="preserve">some of the semen on the child.  PW2 also attested to this action by the accused in her evidence. </w:t>
      </w:r>
      <w:r w:rsidR="00C56911">
        <w:rPr>
          <w:rFonts w:ascii="Constantia" w:hAnsi="Constantia"/>
          <w:sz w:val="28"/>
          <w:szCs w:val="28"/>
        </w:rPr>
        <w:t xml:space="preserve"> The accused</w:t>
      </w:r>
      <w:r w:rsidR="00641828">
        <w:rPr>
          <w:rFonts w:ascii="Constantia" w:hAnsi="Constantia"/>
          <w:sz w:val="28"/>
          <w:szCs w:val="28"/>
        </w:rPr>
        <w:t xml:space="preserve">, on his part, </w:t>
      </w:r>
      <w:r w:rsidR="00C56911">
        <w:rPr>
          <w:rFonts w:ascii="Constantia" w:hAnsi="Constantia"/>
          <w:sz w:val="28"/>
          <w:szCs w:val="28"/>
        </w:rPr>
        <w:t>concede</w:t>
      </w:r>
      <w:r w:rsidR="00641828">
        <w:rPr>
          <w:rFonts w:ascii="Constantia" w:hAnsi="Constantia"/>
          <w:sz w:val="28"/>
          <w:szCs w:val="28"/>
        </w:rPr>
        <w:t>d</w:t>
      </w:r>
      <w:r w:rsidR="00C56911">
        <w:rPr>
          <w:rFonts w:ascii="Constantia" w:hAnsi="Constantia"/>
          <w:sz w:val="28"/>
          <w:szCs w:val="28"/>
        </w:rPr>
        <w:t xml:space="preserve"> to having been at the seen of crime on the night in question.</w:t>
      </w:r>
      <w:r w:rsidR="00C049EE">
        <w:rPr>
          <w:rFonts w:ascii="Constantia" w:hAnsi="Constantia"/>
          <w:sz w:val="28"/>
          <w:szCs w:val="28"/>
        </w:rPr>
        <w:t xml:space="preserve">  In my view, </w:t>
      </w:r>
      <w:r>
        <w:rPr>
          <w:rFonts w:ascii="Constantia" w:hAnsi="Constantia"/>
          <w:sz w:val="28"/>
          <w:szCs w:val="28"/>
        </w:rPr>
        <w:t xml:space="preserve">in so far as </w:t>
      </w:r>
      <w:r w:rsidR="00C049EE">
        <w:rPr>
          <w:rFonts w:ascii="Constantia" w:hAnsi="Constantia"/>
          <w:sz w:val="28"/>
          <w:szCs w:val="28"/>
        </w:rPr>
        <w:t xml:space="preserve">it </w:t>
      </w:r>
      <w:r>
        <w:rPr>
          <w:rFonts w:ascii="Constantia" w:hAnsi="Constantia"/>
          <w:sz w:val="28"/>
          <w:szCs w:val="28"/>
        </w:rPr>
        <w:t xml:space="preserve">attested to the accused having been at the scene of crime and </w:t>
      </w:r>
      <w:r w:rsidR="00C56911">
        <w:rPr>
          <w:rFonts w:ascii="Constantia" w:hAnsi="Constantia"/>
          <w:sz w:val="28"/>
          <w:szCs w:val="28"/>
        </w:rPr>
        <w:t>h</w:t>
      </w:r>
      <w:r w:rsidR="00641828">
        <w:rPr>
          <w:rFonts w:ascii="Constantia" w:hAnsi="Constantia"/>
          <w:sz w:val="28"/>
          <w:szCs w:val="28"/>
        </w:rPr>
        <w:t xml:space="preserve">is attempt to </w:t>
      </w:r>
      <w:r>
        <w:rPr>
          <w:rFonts w:ascii="Constantia" w:hAnsi="Constantia"/>
          <w:sz w:val="28"/>
          <w:szCs w:val="28"/>
        </w:rPr>
        <w:t xml:space="preserve">erase evidence of the sexual act </w:t>
      </w:r>
      <w:r w:rsidR="00C049EE">
        <w:rPr>
          <w:rFonts w:ascii="Constantia" w:hAnsi="Constantia"/>
          <w:sz w:val="28"/>
          <w:szCs w:val="28"/>
        </w:rPr>
        <w:t>performed on PW2, the foregoing circum</w:t>
      </w:r>
      <w:r>
        <w:rPr>
          <w:rFonts w:ascii="Constantia" w:hAnsi="Constantia"/>
          <w:sz w:val="28"/>
          <w:szCs w:val="28"/>
        </w:rPr>
        <w:t xml:space="preserve">stantial evidence </w:t>
      </w:r>
      <w:r w:rsidR="00641828">
        <w:rPr>
          <w:rFonts w:ascii="Constantia" w:hAnsi="Constantia"/>
          <w:sz w:val="28"/>
          <w:szCs w:val="28"/>
        </w:rPr>
        <w:t xml:space="preserve">does </w:t>
      </w:r>
      <w:r>
        <w:rPr>
          <w:rFonts w:ascii="Constantia" w:hAnsi="Constantia"/>
          <w:sz w:val="28"/>
          <w:szCs w:val="28"/>
        </w:rPr>
        <w:t>point to the culpability of the accused in the present case</w:t>
      </w:r>
      <w:r w:rsidR="00641828">
        <w:rPr>
          <w:rFonts w:ascii="Constantia" w:hAnsi="Constantia"/>
          <w:sz w:val="28"/>
          <w:szCs w:val="28"/>
        </w:rPr>
        <w:t>;</w:t>
      </w:r>
      <w:r>
        <w:rPr>
          <w:rFonts w:ascii="Constantia" w:hAnsi="Constantia"/>
          <w:sz w:val="28"/>
          <w:szCs w:val="28"/>
        </w:rPr>
        <w:t xml:space="preserve"> is </w:t>
      </w:r>
      <w:r w:rsidRPr="008E252B">
        <w:rPr>
          <w:rFonts w:ascii="Constantia" w:hAnsi="Constantia"/>
          <w:sz w:val="28"/>
          <w:szCs w:val="28"/>
        </w:rPr>
        <w:t>incompatible with the innocence of the accused</w:t>
      </w:r>
      <w:r w:rsidR="00641828">
        <w:rPr>
          <w:rFonts w:ascii="Constantia" w:hAnsi="Constantia"/>
          <w:sz w:val="28"/>
          <w:szCs w:val="28"/>
        </w:rPr>
        <w:t>,</w:t>
      </w:r>
      <w:r w:rsidRPr="008E252B">
        <w:rPr>
          <w:rFonts w:ascii="Constantia" w:hAnsi="Constantia"/>
          <w:sz w:val="28"/>
          <w:szCs w:val="28"/>
        </w:rPr>
        <w:t xml:space="preserve"> and incapable of explanation on any other reasonable hypothesis than that of guilt</w:t>
      </w:r>
      <w:r w:rsidRPr="008F6BF7">
        <w:rPr>
          <w:rFonts w:ascii="Constantia" w:hAnsi="Constantia"/>
          <w:sz w:val="28"/>
          <w:szCs w:val="28"/>
        </w:rPr>
        <w:t>.</w:t>
      </w:r>
      <w:r>
        <w:rPr>
          <w:rFonts w:ascii="Constantia" w:hAnsi="Constantia"/>
          <w:sz w:val="28"/>
          <w:szCs w:val="28"/>
        </w:rPr>
        <w:t xml:space="preserve"> </w:t>
      </w:r>
    </w:p>
    <w:p w:rsidR="005F36D6" w:rsidRDefault="005F36D6" w:rsidP="00655098">
      <w:pPr>
        <w:pStyle w:val="ListParagraph"/>
        <w:ind w:left="0"/>
        <w:jc w:val="both"/>
        <w:rPr>
          <w:rFonts w:ascii="Constantia" w:hAnsi="Constantia"/>
          <w:sz w:val="28"/>
          <w:szCs w:val="28"/>
        </w:rPr>
      </w:pPr>
    </w:p>
    <w:p w:rsidR="0067227F" w:rsidRDefault="005F36D6" w:rsidP="00655098">
      <w:pPr>
        <w:pStyle w:val="ListParagraph"/>
        <w:ind w:left="0"/>
        <w:jc w:val="both"/>
        <w:rPr>
          <w:rFonts w:ascii="Constantia" w:hAnsi="Constantia"/>
          <w:sz w:val="28"/>
          <w:szCs w:val="28"/>
        </w:rPr>
      </w:pPr>
      <w:r>
        <w:rPr>
          <w:rFonts w:ascii="Constantia" w:hAnsi="Constantia"/>
          <w:sz w:val="28"/>
          <w:szCs w:val="28"/>
        </w:rPr>
        <w:t>Before I take leave of this issue I shall address the inconsistencies in the prosecution evidence that were highlighted by learned Defence Counsel.  He contend</w:t>
      </w:r>
      <w:r w:rsidR="00B4365E">
        <w:rPr>
          <w:rFonts w:ascii="Constantia" w:hAnsi="Constantia"/>
          <w:sz w:val="28"/>
          <w:szCs w:val="28"/>
        </w:rPr>
        <w:t>ed</w:t>
      </w:r>
      <w:r>
        <w:rPr>
          <w:rFonts w:ascii="Constantia" w:hAnsi="Constantia"/>
          <w:sz w:val="28"/>
          <w:szCs w:val="28"/>
        </w:rPr>
        <w:t xml:space="preserve"> that the name ‘Sid</w:t>
      </w:r>
      <w:r w:rsidR="00E66B3B">
        <w:rPr>
          <w:rFonts w:ascii="Constantia" w:hAnsi="Constantia"/>
          <w:sz w:val="28"/>
          <w:szCs w:val="28"/>
        </w:rPr>
        <w:t>a</w:t>
      </w:r>
      <w:r>
        <w:rPr>
          <w:rFonts w:ascii="Constantia" w:hAnsi="Constantia"/>
          <w:sz w:val="28"/>
          <w:szCs w:val="28"/>
        </w:rPr>
        <w:t>’ that PW2 attributed to her defiler was not the accused’s name and therefore another person not the accused was responsible for her defilement.  With due respect to learned Counsel, the name she referred him by notwithstanding, at the trial PW2 clearly identified the accused as the person she attributed that name to.</w:t>
      </w:r>
      <w:r w:rsidR="00B4365E">
        <w:rPr>
          <w:rFonts w:ascii="Constantia" w:hAnsi="Constantia"/>
          <w:sz w:val="28"/>
          <w:szCs w:val="28"/>
        </w:rPr>
        <w:t xml:space="preserve">  The accused himself also conceded that he had heard people calling him ‘Sida’ even though it was not his name.</w:t>
      </w:r>
      <w:r>
        <w:rPr>
          <w:rFonts w:ascii="Constantia" w:hAnsi="Constantia"/>
          <w:sz w:val="28"/>
          <w:szCs w:val="28"/>
        </w:rPr>
        <w:t xml:space="preserve">  </w:t>
      </w:r>
    </w:p>
    <w:p w:rsidR="005F36D6" w:rsidRDefault="005F36D6" w:rsidP="00655098">
      <w:pPr>
        <w:pStyle w:val="ListParagraph"/>
        <w:ind w:left="0"/>
        <w:jc w:val="both"/>
        <w:rPr>
          <w:rFonts w:ascii="Constantia" w:hAnsi="Constantia"/>
          <w:sz w:val="28"/>
          <w:szCs w:val="28"/>
        </w:rPr>
      </w:pPr>
    </w:p>
    <w:p w:rsidR="00655098" w:rsidRPr="00EC465D" w:rsidRDefault="00655098" w:rsidP="00655098">
      <w:pPr>
        <w:pStyle w:val="ListParagraph"/>
        <w:ind w:left="0"/>
        <w:jc w:val="both"/>
        <w:rPr>
          <w:rFonts w:ascii="Constantia" w:hAnsi="Constantia"/>
          <w:sz w:val="28"/>
          <w:szCs w:val="28"/>
        </w:rPr>
      </w:pPr>
      <w:r w:rsidRPr="00E5445E">
        <w:rPr>
          <w:rFonts w:ascii="Constantia" w:hAnsi="Constantia"/>
          <w:sz w:val="28"/>
          <w:szCs w:val="28"/>
        </w:rPr>
        <w:t xml:space="preserve">In the </w:t>
      </w:r>
      <w:r w:rsidR="00A60224">
        <w:rPr>
          <w:rFonts w:ascii="Constantia" w:hAnsi="Constantia"/>
          <w:sz w:val="28"/>
          <w:szCs w:val="28"/>
        </w:rPr>
        <w:t xml:space="preserve">final </w:t>
      </w:r>
      <w:r w:rsidR="00511254">
        <w:rPr>
          <w:rFonts w:ascii="Constantia" w:hAnsi="Constantia"/>
          <w:sz w:val="28"/>
          <w:szCs w:val="28"/>
        </w:rPr>
        <w:t>result</w:t>
      </w:r>
      <w:r w:rsidRPr="00E5445E">
        <w:rPr>
          <w:rFonts w:ascii="Constantia" w:hAnsi="Constantia"/>
          <w:sz w:val="28"/>
          <w:szCs w:val="28"/>
        </w:rPr>
        <w:t xml:space="preserve">, I </w:t>
      </w:r>
      <w:r w:rsidR="0067227F">
        <w:rPr>
          <w:rFonts w:ascii="Constantia" w:hAnsi="Constantia"/>
          <w:sz w:val="28"/>
          <w:szCs w:val="28"/>
        </w:rPr>
        <w:t xml:space="preserve">am satisfied </w:t>
      </w:r>
      <w:r w:rsidRPr="00E5445E">
        <w:rPr>
          <w:rFonts w:ascii="Constantia" w:hAnsi="Constantia"/>
          <w:sz w:val="28"/>
          <w:szCs w:val="28"/>
        </w:rPr>
        <w:t xml:space="preserve">that the prosecution has proved the offence of aggravated defilement against the accused </w:t>
      </w:r>
      <w:r w:rsidR="00770564">
        <w:rPr>
          <w:rFonts w:ascii="Constantia" w:hAnsi="Constantia"/>
          <w:sz w:val="28"/>
          <w:szCs w:val="28"/>
        </w:rPr>
        <w:t xml:space="preserve">– </w:t>
      </w:r>
      <w:r w:rsidR="00511254">
        <w:rPr>
          <w:rFonts w:ascii="Constantia" w:hAnsi="Constantia"/>
          <w:sz w:val="28"/>
          <w:szCs w:val="28"/>
        </w:rPr>
        <w:t>Laston Ochwo</w:t>
      </w:r>
      <w:r w:rsidRPr="00E5445E">
        <w:rPr>
          <w:rFonts w:ascii="Constantia" w:hAnsi="Constantia"/>
          <w:sz w:val="28"/>
          <w:szCs w:val="28"/>
        </w:rPr>
        <w:t xml:space="preserve"> beyond reasonable doubt.  I find the accused guilty of aggravated defilement contrary to section 129(3) and (4) </w:t>
      </w:r>
      <w:r>
        <w:rPr>
          <w:rFonts w:ascii="Constantia" w:hAnsi="Constantia"/>
          <w:sz w:val="28"/>
          <w:szCs w:val="28"/>
        </w:rPr>
        <w:t xml:space="preserve">(a) </w:t>
      </w:r>
      <w:r w:rsidRPr="00E5445E">
        <w:rPr>
          <w:rFonts w:ascii="Constantia" w:hAnsi="Constantia"/>
          <w:sz w:val="28"/>
          <w:szCs w:val="28"/>
        </w:rPr>
        <w:t>of the Penal Code Act, and do convict him of the offence as charged.</w:t>
      </w:r>
    </w:p>
    <w:p w:rsidR="00655098" w:rsidRPr="00EC465D" w:rsidRDefault="00655098" w:rsidP="00655098">
      <w:pPr>
        <w:pStyle w:val="ListParagraph"/>
        <w:ind w:left="0"/>
        <w:jc w:val="both"/>
        <w:rPr>
          <w:rFonts w:ascii="Constantia" w:hAnsi="Constantia"/>
          <w:sz w:val="28"/>
          <w:szCs w:val="28"/>
        </w:rPr>
      </w:pPr>
    </w:p>
    <w:p w:rsidR="00655098" w:rsidRPr="00EC465D" w:rsidRDefault="00655098" w:rsidP="00655098">
      <w:pPr>
        <w:pStyle w:val="ListParagraph"/>
        <w:ind w:left="0"/>
        <w:jc w:val="both"/>
        <w:rPr>
          <w:rFonts w:ascii="Constantia" w:hAnsi="Constantia"/>
          <w:sz w:val="28"/>
          <w:szCs w:val="28"/>
        </w:rPr>
      </w:pPr>
    </w:p>
    <w:p w:rsidR="00511254" w:rsidRDefault="00511254" w:rsidP="00655098">
      <w:pPr>
        <w:pStyle w:val="ListParagraph"/>
        <w:ind w:left="0"/>
        <w:jc w:val="both"/>
        <w:rPr>
          <w:rFonts w:ascii="Constantia" w:hAnsi="Constantia"/>
          <w:b/>
          <w:bCs/>
          <w:sz w:val="28"/>
          <w:szCs w:val="28"/>
        </w:rPr>
      </w:pPr>
    </w:p>
    <w:p w:rsidR="008D6381" w:rsidRDefault="008D6381" w:rsidP="00655098">
      <w:pPr>
        <w:pStyle w:val="ListParagraph"/>
        <w:ind w:left="0"/>
        <w:jc w:val="both"/>
        <w:rPr>
          <w:rFonts w:ascii="Constantia" w:hAnsi="Constantia"/>
          <w:b/>
          <w:bCs/>
          <w:sz w:val="28"/>
          <w:szCs w:val="28"/>
        </w:rPr>
      </w:pPr>
    </w:p>
    <w:p w:rsidR="00655098" w:rsidRPr="00531333" w:rsidRDefault="00655098" w:rsidP="00655098">
      <w:pPr>
        <w:pStyle w:val="ListParagraph"/>
        <w:ind w:left="0"/>
        <w:jc w:val="both"/>
        <w:rPr>
          <w:rFonts w:ascii="Constantia" w:hAnsi="Constantia"/>
          <w:b/>
          <w:sz w:val="28"/>
          <w:szCs w:val="28"/>
        </w:rPr>
      </w:pPr>
      <w:r w:rsidRPr="00531333">
        <w:rPr>
          <w:rFonts w:ascii="Constantia" w:hAnsi="Constantia"/>
          <w:b/>
          <w:bCs/>
          <w:sz w:val="28"/>
          <w:szCs w:val="28"/>
        </w:rPr>
        <w:t>M</w:t>
      </w:r>
      <w:r w:rsidR="00511254">
        <w:rPr>
          <w:rFonts w:ascii="Constantia" w:hAnsi="Constantia"/>
          <w:b/>
          <w:bCs/>
          <w:sz w:val="28"/>
          <w:szCs w:val="28"/>
        </w:rPr>
        <w:t>onica K. Mugenyi</w:t>
      </w:r>
      <w:r w:rsidRPr="00531333">
        <w:rPr>
          <w:rFonts w:ascii="Constantia" w:hAnsi="Constantia"/>
          <w:b/>
          <w:sz w:val="28"/>
          <w:szCs w:val="28"/>
        </w:rPr>
        <w:t xml:space="preserve"> </w:t>
      </w:r>
    </w:p>
    <w:p w:rsidR="00655098" w:rsidRDefault="00655098" w:rsidP="00655098">
      <w:pPr>
        <w:pStyle w:val="ListParagraph"/>
        <w:ind w:left="0"/>
        <w:jc w:val="both"/>
        <w:rPr>
          <w:rFonts w:ascii="Constantia" w:hAnsi="Constantia"/>
          <w:b/>
          <w:sz w:val="28"/>
          <w:szCs w:val="28"/>
          <w:u w:val="single"/>
        </w:rPr>
      </w:pPr>
      <w:r w:rsidRPr="00531333">
        <w:rPr>
          <w:rFonts w:ascii="Constantia" w:hAnsi="Constantia"/>
          <w:b/>
          <w:sz w:val="28"/>
          <w:szCs w:val="28"/>
          <w:u w:val="single"/>
        </w:rPr>
        <w:t>J</w:t>
      </w:r>
      <w:r w:rsidR="00511254">
        <w:rPr>
          <w:rFonts w:ascii="Constantia" w:hAnsi="Constantia"/>
          <w:b/>
          <w:sz w:val="28"/>
          <w:szCs w:val="28"/>
          <w:u w:val="single"/>
        </w:rPr>
        <w:t>udge</w:t>
      </w:r>
    </w:p>
    <w:p w:rsidR="00511254" w:rsidRPr="00531333" w:rsidRDefault="00511254" w:rsidP="00655098">
      <w:pPr>
        <w:pStyle w:val="ListParagraph"/>
        <w:ind w:left="0"/>
        <w:jc w:val="both"/>
        <w:rPr>
          <w:rFonts w:ascii="Constantia" w:hAnsi="Constantia"/>
          <w:b/>
          <w:sz w:val="28"/>
          <w:szCs w:val="28"/>
          <w:u w:val="single"/>
        </w:rPr>
      </w:pPr>
    </w:p>
    <w:p w:rsidR="00655098" w:rsidRPr="00511254" w:rsidRDefault="00655098" w:rsidP="00655098">
      <w:pPr>
        <w:pStyle w:val="ListParagraph"/>
        <w:ind w:left="0"/>
        <w:jc w:val="both"/>
        <w:rPr>
          <w:rFonts w:ascii="Constantia" w:hAnsi="Constantia"/>
          <w:sz w:val="28"/>
          <w:szCs w:val="28"/>
        </w:rPr>
      </w:pPr>
      <w:r w:rsidRPr="00511254">
        <w:rPr>
          <w:rFonts w:ascii="Constantia" w:hAnsi="Constantia"/>
          <w:sz w:val="28"/>
          <w:szCs w:val="28"/>
        </w:rPr>
        <w:t>1</w:t>
      </w:r>
      <w:r w:rsidR="00511254" w:rsidRPr="00511254">
        <w:rPr>
          <w:rFonts w:ascii="Constantia" w:hAnsi="Constantia"/>
          <w:sz w:val="28"/>
          <w:szCs w:val="28"/>
        </w:rPr>
        <w:t>9</w:t>
      </w:r>
      <w:r w:rsidRPr="00511254">
        <w:rPr>
          <w:rFonts w:ascii="Constantia" w:hAnsi="Constantia"/>
          <w:sz w:val="28"/>
          <w:szCs w:val="28"/>
          <w:vertAlign w:val="superscript"/>
        </w:rPr>
        <w:t>th</w:t>
      </w:r>
      <w:r w:rsidRPr="00511254">
        <w:rPr>
          <w:rFonts w:ascii="Constantia" w:hAnsi="Constantia"/>
          <w:sz w:val="28"/>
          <w:szCs w:val="28"/>
        </w:rPr>
        <w:t xml:space="preserve"> </w:t>
      </w:r>
      <w:r w:rsidR="00511254" w:rsidRPr="00511254">
        <w:rPr>
          <w:rFonts w:ascii="Constantia" w:hAnsi="Constantia"/>
          <w:sz w:val="28"/>
          <w:szCs w:val="28"/>
        </w:rPr>
        <w:t>March</w:t>
      </w:r>
      <w:r w:rsidRPr="00511254">
        <w:rPr>
          <w:rFonts w:ascii="Constantia" w:hAnsi="Constantia"/>
          <w:sz w:val="28"/>
          <w:szCs w:val="28"/>
        </w:rPr>
        <w:t>, 201</w:t>
      </w:r>
      <w:r w:rsidR="00511254" w:rsidRPr="00511254">
        <w:rPr>
          <w:rFonts w:ascii="Constantia" w:hAnsi="Constantia"/>
          <w:sz w:val="28"/>
          <w:szCs w:val="28"/>
        </w:rPr>
        <w:t>2</w:t>
      </w:r>
    </w:p>
    <w:sectPr w:rsidR="00655098" w:rsidRPr="00511254" w:rsidSect="00AC0550">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A83" w:rsidRDefault="00E50A83" w:rsidP="00F87B60">
      <w:pPr>
        <w:spacing w:after="0" w:line="240" w:lineRule="auto"/>
      </w:pPr>
      <w:r>
        <w:separator/>
      </w:r>
    </w:p>
  </w:endnote>
  <w:endnote w:type="continuationSeparator" w:id="1">
    <w:p w:rsidR="00E50A83" w:rsidRDefault="00E50A83" w:rsidP="00F87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50" w:rsidRDefault="00EB523F">
    <w:pPr>
      <w:pStyle w:val="Footer"/>
      <w:jc w:val="center"/>
    </w:pPr>
    <w:r>
      <w:fldChar w:fldCharType="begin"/>
    </w:r>
    <w:r w:rsidR="006C4A87">
      <w:instrText xml:space="preserve"> PAGE   \* MERGEFORMAT </w:instrText>
    </w:r>
    <w:r>
      <w:fldChar w:fldCharType="separate"/>
    </w:r>
    <w:r w:rsidR="00E50A83">
      <w:rPr>
        <w:noProof/>
      </w:rPr>
      <w:t>1</w:t>
    </w:r>
    <w:r>
      <w:fldChar w:fldCharType="end"/>
    </w:r>
  </w:p>
  <w:p w:rsidR="00AC0550" w:rsidRDefault="00E50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A83" w:rsidRDefault="00E50A83" w:rsidP="00F87B60">
      <w:pPr>
        <w:spacing w:after="0" w:line="240" w:lineRule="auto"/>
      </w:pPr>
      <w:r>
        <w:separator/>
      </w:r>
    </w:p>
  </w:footnote>
  <w:footnote w:type="continuationSeparator" w:id="1">
    <w:p w:rsidR="00E50A83" w:rsidRDefault="00E50A83" w:rsidP="00F87B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55098"/>
    <w:rsid w:val="0001298A"/>
    <w:rsid w:val="0001660F"/>
    <w:rsid w:val="00023D55"/>
    <w:rsid w:val="00046A03"/>
    <w:rsid w:val="000741EF"/>
    <w:rsid w:val="00075AC0"/>
    <w:rsid w:val="00076CF2"/>
    <w:rsid w:val="00085747"/>
    <w:rsid w:val="000A4504"/>
    <w:rsid w:val="000C63FD"/>
    <w:rsid w:val="000F5996"/>
    <w:rsid w:val="00101C0F"/>
    <w:rsid w:val="0012142B"/>
    <w:rsid w:val="00122DDF"/>
    <w:rsid w:val="00123661"/>
    <w:rsid w:val="0012714F"/>
    <w:rsid w:val="00190486"/>
    <w:rsid w:val="001C2F51"/>
    <w:rsid w:val="001D786C"/>
    <w:rsid w:val="00200686"/>
    <w:rsid w:val="00231579"/>
    <w:rsid w:val="0024348B"/>
    <w:rsid w:val="00262FA1"/>
    <w:rsid w:val="00283A70"/>
    <w:rsid w:val="002A25C6"/>
    <w:rsid w:val="002B3DE1"/>
    <w:rsid w:val="002D7B2C"/>
    <w:rsid w:val="002F3EB3"/>
    <w:rsid w:val="003542FD"/>
    <w:rsid w:val="00355632"/>
    <w:rsid w:val="003820B5"/>
    <w:rsid w:val="00382EEB"/>
    <w:rsid w:val="00392E5A"/>
    <w:rsid w:val="003A2858"/>
    <w:rsid w:val="003E1AB0"/>
    <w:rsid w:val="003F068B"/>
    <w:rsid w:val="0041617F"/>
    <w:rsid w:val="00446E24"/>
    <w:rsid w:val="00476176"/>
    <w:rsid w:val="00481E57"/>
    <w:rsid w:val="004C32A4"/>
    <w:rsid w:val="004C6AC6"/>
    <w:rsid w:val="004C7110"/>
    <w:rsid w:val="004D05C0"/>
    <w:rsid w:val="004F76E6"/>
    <w:rsid w:val="00511254"/>
    <w:rsid w:val="00511C95"/>
    <w:rsid w:val="00526A2A"/>
    <w:rsid w:val="00530AE9"/>
    <w:rsid w:val="00534602"/>
    <w:rsid w:val="005538FE"/>
    <w:rsid w:val="00580499"/>
    <w:rsid w:val="00591A5C"/>
    <w:rsid w:val="005A3D83"/>
    <w:rsid w:val="005D6C72"/>
    <w:rsid w:val="005E368D"/>
    <w:rsid w:val="005F36D6"/>
    <w:rsid w:val="00603C45"/>
    <w:rsid w:val="006169C3"/>
    <w:rsid w:val="00637290"/>
    <w:rsid w:val="00641828"/>
    <w:rsid w:val="00655098"/>
    <w:rsid w:val="006553F9"/>
    <w:rsid w:val="00661A7B"/>
    <w:rsid w:val="0067227F"/>
    <w:rsid w:val="00682E86"/>
    <w:rsid w:val="006B0D47"/>
    <w:rsid w:val="006C4A87"/>
    <w:rsid w:val="00702195"/>
    <w:rsid w:val="00722CD5"/>
    <w:rsid w:val="007276DF"/>
    <w:rsid w:val="00746153"/>
    <w:rsid w:val="00753EFE"/>
    <w:rsid w:val="00770564"/>
    <w:rsid w:val="007742FC"/>
    <w:rsid w:val="007A5FFB"/>
    <w:rsid w:val="007B110F"/>
    <w:rsid w:val="007F28F4"/>
    <w:rsid w:val="0080046E"/>
    <w:rsid w:val="00846072"/>
    <w:rsid w:val="0085714E"/>
    <w:rsid w:val="008811D6"/>
    <w:rsid w:val="00892803"/>
    <w:rsid w:val="008D6381"/>
    <w:rsid w:val="008E0775"/>
    <w:rsid w:val="008E252B"/>
    <w:rsid w:val="00925B68"/>
    <w:rsid w:val="0095147C"/>
    <w:rsid w:val="00983C6F"/>
    <w:rsid w:val="00986785"/>
    <w:rsid w:val="009965E0"/>
    <w:rsid w:val="009A6D91"/>
    <w:rsid w:val="009D1195"/>
    <w:rsid w:val="009D2E13"/>
    <w:rsid w:val="009D5336"/>
    <w:rsid w:val="00A432F8"/>
    <w:rsid w:val="00A60224"/>
    <w:rsid w:val="00A7479B"/>
    <w:rsid w:val="00AC2C38"/>
    <w:rsid w:val="00AD0D88"/>
    <w:rsid w:val="00AD22CC"/>
    <w:rsid w:val="00B1049C"/>
    <w:rsid w:val="00B25AA7"/>
    <w:rsid w:val="00B4365E"/>
    <w:rsid w:val="00B65599"/>
    <w:rsid w:val="00B67717"/>
    <w:rsid w:val="00B741E0"/>
    <w:rsid w:val="00B903E1"/>
    <w:rsid w:val="00B904F9"/>
    <w:rsid w:val="00BA1592"/>
    <w:rsid w:val="00BB21F8"/>
    <w:rsid w:val="00BC0655"/>
    <w:rsid w:val="00BC1BA9"/>
    <w:rsid w:val="00C0375A"/>
    <w:rsid w:val="00C049EE"/>
    <w:rsid w:val="00C12CCA"/>
    <w:rsid w:val="00C401E6"/>
    <w:rsid w:val="00C4231C"/>
    <w:rsid w:val="00C44704"/>
    <w:rsid w:val="00C5610F"/>
    <w:rsid w:val="00C56911"/>
    <w:rsid w:val="00CD4E4F"/>
    <w:rsid w:val="00CF65BE"/>
    <w:rsid w:val="00D05C13"/>
    <w:rsid w:val="00D5669B"/>
    <w:rsid w:val="00D64EA7"/>
    <w:rsid w:val="00D80A5A"/>
    <w:rsid w:val="00D82533"/>
    <w:rsid w:val="00DC3219"/>
    <w:rsid w:val="00DF19F2"/>
    <w:rsid w:val="00DF2770"/>
    <w:rsid w:val="00DF3B18"/>
    <w:rsid w:val="00E233C5"/>
    <w:rsid w:val="00E50A83"/>
    <w:rsid w:val="00E66B3B"/>
    <w:rsid w:val="00EB523F"/>
    <w:rsid w:val="00EC21C8"/>
    <w:rsid w:val="00F0386E"/>
    <w:rsid w:val="00F03AD3"/>
    <w:rsid w:val="00F12347"/>
    <w:rsid w:val="00F43665"/>
    <w:rsid w:val="00F56982"/>
    <w:rsid w:val="00F6341D"/>
    <w:rsid w:val="00F750C6"/>
    <w:rsid w:val="00F76576"/>
    <w:rsid w:val="00F86813"/>
    <w:rsid w:val="00F87B60"/>
    <w:rsid w:val="00FA2056"/>
    <w:rsid w:val="00FB5B15"/>
    <w:rsid w:val="00FC388F"/>
    <w:rsid w:val="00FC55F1"/>
    <w:rsid w:val="00FE4862"/>
    <w:rsid w:val="00FF3960"/>
    <w:rsid w:val="00FF5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098"/>
    <w:pPr>
      <w:ind w:left="720"/>
      <w:contextualSpacing/>
    </w:pPr>
  </w:style>
  <w:style w:type="paragraph" w:styleId="Footer">
    <w:name w:val="footer"/>
    <w:basedOn w:val="Normal"/>
    <w:link w:val="FooterChar"/>
    <w:uiPriority w:val="99"/>
    <w:unhideWhenUsed/>
    <w:rsid w:val="00655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98"/>
    <w:rPr>
      <w:rFonts w:ascii="Calibri" w:eastAsia="Calibri" w:hAnsi="Calibri" w:cs="Times New Roman"/>
    </w:rPr>
  </w:style>
  <w:style w:type="paragraph" w:styleId="NormalWeb">
    <w:name w:val="Normal (Web)"/>
    <w:basedOn w:val="Normal"/>
    <w:uiPriority w:val="99"/>
    <w:semiHidden/>
    <w:unhideWhenUsed/>
    <w:rsid w:val="00655098"/>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dcterms:created xsi:type="dcterms:W3CDTF">2012-03-20T05:33:00Z</dcterms:created>
  <dcterms:modified xsi:type="dcterms:W3CDTF">2012-03-20T05:33:00Z</dcterms:modified>
</cp:coreProperties>
</file>