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E1" w:rsidRPr="002B1378" w:rsidRDefault="003B16DB" w:rsidP="00FA3202">
      <w:pPr>
        <w:pStyle w:val="Title"/>
        <w:jc w:val="center"/>
        <w:rPr>
          <w:color w:val="000000" w:themeColor="text1"/>
          <w:sz w:val="24"/>
          <w:szCs w:val="24"/>
        </w:rPr>
      </w:pPr>
      <w:r w:rsidRPr="002B1378">
        <w:rPr>
          <w:color w:val="000000" w:themeColor="text1"/>
          <w:sz w:val="24"/>
          <w:szCs w:val="24"/>
        </w:rPr>
        <w:t>REPUBLIC OF UGANDA</w:t>
      </w:r>
    </w:p>
    <w:p w:rsidR="007C65C3" w:rsidRPr="002B1378" w:rsidRDefault="00267454" w:rsidP="00FA3202">
      <w:pPr>
        <w:pStyle w:val="Title"/>
        <w:jc w:val="center"/>
        <w:rPr>
          <w:color w:val="000000" w:themeColor="text1"/>
          <w:sz w:val="24"/>
          <w:szCs w:val="24"/>
        </w:rPr>
      </w:pPr>
      <w:r w:rsidRPr="002B1378">
        <w:rPr>
          <w:color w:val="000000" w:themeColor="text1"/>
          <w:sz w:val="24"/>
          <w:szCs w:val="24"/>
        </w:rPr>
        <w:t>ANTI CORRUPTION DIVISION</w:t>
      </w:r>
    </w:p>
    <w:p w:rsidR="001431B4" w:rsidRPr="002B1378" w:rsidRDefault="00267454" w:rsidP="00FA3202">
      <w:pPr>
        <w:pStyle w:val="Title"/>
        <w:jc w:val="center"/>
        <w:rPr>
          <w:color w:val="000000" w:themeColor="text1"/>
          <w:sz w:val="24"/>
          <w:szCs w:val="24"/>
        </w:rPr>
      </w:pPr>
      <w:r w:rsidRPr="002B1378">
        <w:rPr>
          <w:color w:val="000000" w:themeColor="text1"/>
          <w:sz w:val="24"/>
          <w:szCs w:val="24"/>
        </w:rPr>
        <w:t>HOLDEN AT KOLOLO</w:t>
      </w:r>
    </w:p>
    <w:p w:rsidR="001431B4" w:rsidRPr="002B1378" w:rsidRDefault="00267454" w:rsidP="00FA3202">
      <w:pPr>
        <w:pStyle w:val="Title"/>
        <w:jc w:val="center"/>
        <w:rPr>
          <w:color w:val="000000" w:themeColor="text1"/>
          <w:sz w:val="24"/>
          <w:szCs w:val="24"/>
        </w:rPr>
      </w:pPr>
      <w:r w:rsidRPr="002B1378">
        <w:rPr>
          <w:color w:val="000000" w:themeColor="text1"/>
          <w:sz w:val="24"/>
          <w:szCs w:val="24"/>
        </w:rPr>
        <w:t>CRIMINAL APPEAL NO. 26 OF 2011</w:t>
      </w:r>
    </w:p>
    <w:p w:rsidR="00267454" w:rsidRPr="002B1378" w:rsidRDefault="00267454" w:rsidP="00FA3202">
      <w:pPr>
        <w:pStyle w:val="Title"/>
        <w:jc w:val="center"/>
        <w:rPr>
          <w:color w:val="000000" w:themeColor="text1"/>
          <w:sz w:val="24"/>
          <w:szCs w:val="24"/>
        </w:rPr>
      </w:pPr>
      <w:r w:rsidRPr="002B1378">
        <w:rPr>
          <w:color w:val="000000" w:themeColor="text1"/>
          <w:sz w:val="24"/>
          <w:szCs w:val="24"/>
        </w:rPr>
        <w:t xml:space="preserve">AMPUMUZA </w:t>
      </w:r>
      <w:r w:rsidR="00FA3202" w:rsidRPr="002B1378">
        <w:rPr>
          <w:color w:val="000000" w:themeColor="text1"/>
          <w:sz w:val="24"/>
          <w:szCs w:val="24"/>
        </w:rPr>
        <w:t>NAD:::::::::::::</w:t>
      </w:r>
      <w:r w:rsidR="002B1378" w:rsidRPr="002B1378">
        <w:rPr>
          <w:color w:val="000000" w:themeColor="text1"/>
          <w:sz w:val="24"/>
          <w:szCs w:val="24"/>
        </w:rPr>
        <w:t>::::::::::::::::::::::::::::::::</w:t>
      </w:r>
      <w:r w:rsidRPr="002B1378">
        <w:rPr>
          <w:color w:val="000000" w:themeColor="text1"/>
          <w:sz w:val="24"/>
          <w:szCs w:val="24"/>
        </w:rPr>
        <w:t xml:space="preserve"> APPELLANT</w:t>
      </w:r>
    </w:p>
    <w:p w:rsidR="00267454" w:rsidRPr="002B1378" w:rsidRDefault="00267454" w:rsidP="00FA3202">
      <w:pPr>
        <w:pStyle w:val="Title"/>
        <w:jc w:val="center"/>
        <w:rPr>
          <w:color w:val="000000" w:themeColor="text1"/>
          <w:sz w:val="24"/>
          <w:szCs w:val="24"/>
        </w:rPr>
      </w:pPr>
      <w:r w:rsidRPr="002B1378">
        <w:rPr>
          <w:color w:val="000000" w:themeColor="text1"/>
          <w:sz w:val="24"/>
          <w:szCs w:val="24"/>
        </w:rPr>
        <w:t>V</w:t>
      </w:r>
    </w:p>
    <w:p w:rsidR="00273369" w:rsidRPr="002B1378" w:rsidRDefault="00267454" w:rsidP="00273369">
      <w:pPr>
        <w:pStyle w:val="Title"/>
        <w:jc w:val="center"/>
        <w:rPr>
          <w:color w:val="000000" w:themeColor="text1"/>
          <w:sz w:val="24"/>
          <w:szCs w:val="24"/>
        </w:rPr>
      </w:pPr>
      <w:r w:rsidRPr="002B1378">
        <w:rPr>
          <w:color w:val="000000" w:themeColor="text1"/>
          <w:sz w:val="24"/>
          <w:szCs w:val="24"/>
        </w:rPr>
        <w:t>UGANDA :::::::::::::</w:t>
      </w:r>
      <w:r w:rsidR="00FA3202" w:rsidRPr="002B1378">
        <w:rPr>
          <w:color w:val="000000" w:themeColor="text1"/>
          <w:sz w:val="24"/>
          <w:szCs w:val="24"/>
        </w:rPr>
        <w:t>:::::::::::</w:t>
      </w:r>
      <w:r w:rsidR="002B1378" w:rsidRPr="002B1378">
        <w:rPr>
          <w:color w:val="000000" w:themeColor="text1"/>
          <w:sz w:val="24"/>
          <w:szCs w:val="24"/>
        </w:rPr>
        <w:t>::::::::::::::::::::::::::::::</w:t>
      </w:r>
      <w:r w:rsidRPr="002B1378">
        <w:rPr>
          <w:color w:val="000000" w:themeColor="text1"/>
          <w:sz w:val="24"/>
          <w:szCs w:val="24"/>
        </w:rPr>
        <w:t xml:space="preserve"> RESPONDENT</w:t>
      </w:r>
    </w:p>
    <w:p w:rsidR="003B16DB" w:rsidRPr="002B1378" w:rsidRDefault="00267454" w:rsidP="00267454">
      <w:pPr>
        <w:jc w:val="center"/>
        <w:rPr>
          <w:rFonts w:ascii="Algerian" w:hAnsi="Algerian"/>
          <w:sz w:val="24"/>
          <w:szCs w:val="24"/>
        </w:rPr>
      </w:pPr>
      <w:r w:rsidRPr="002B1378">
        <w:rPr>
          <w:rFonts w:ascii="Algerian" w:hAnsi="Algerian"/>
          <w:sz w:val="24"/>
          <w:szCs w:val="24"/>
        </w:rPr>
        <w:t>Before Hon. Lady Justice Catherine Bamugemereire</w:t>
      </w:r>
    </w:p>
    <w:p w:rsidR="00267454" w:rsidRPr="002B1378" w:rsidRDefault="00267454" w:rsidP="00267454">
      <w:pPr>
        <w:jc w:val="center"/>
        <w:rPr>
          <w:rFonts w:ascii="Algerian" w:hAnsi="Algerian"/>
          <w:sz w:val="24"/>
          <w:szCs w:val="24"/>
        </w:rPr>
      </w:pPr>
      <w:r w:rsidRPr="002B1378">
        <w:rPr>
          <w:rFonts w:ascii="Algerian" w:hAnsi="Algerian"/>
          <w:sz w:val="24"/>
          <w:szCs w:val="24"/>
        </w:rPr>
        <w:t>Judgment</w:t>
      </w:r>
    </w:p>
    <w:p w:rsidR="00C83A57" w:rsidRPr="002B1378" w:rsidRDefault="00F34686" w:rsidP="00C83A57">
      <w:pPr>
        <w:spacing w:line="360" w:lineRule="auto"/>
        <w:jc w:val="both"/>
        <w:rPr>
          <w:rFonts w:ascii="Constantia" w:hAnsi="Constantia" w:cs="Tahoma"/>
          <w:sz w:val="24"/>
          <w:szCs w:val="24"/>
        </w:rPr>
      </w:pPr>
      <w:r w:rsidRPr="002B1378">
        <w:rPr>
          <w:rFonts w:ascii="Constantia" w:hAnsi="Constantia" w:cs="Tahoma"/>
          <w:sz w:val="24"/>
          <w:szCs w:val="24"/>
        </w:rPr>
        <w:t xml:space="preserve">The </w:t>
      </w:r>
      <w:r w:rsidR="00352229" w:rsidRPr="002B1378">
        <w:rPr>
          <w:rFonts w:ascii="Constantia" w:hAnsi="Constantia" w:cs="Tahoma"/>
          <w:sz w:val="24"/>
          <w:szCs w:val="24"/>
        </w:rPr>
        <w:t>Appellant</w:t>
      </w:r>
      <w:r w:rsidRPr="002B1378">
        <w:rPr>
          <w:rFonts w:ascii="Constantia" w:hAnsi="Constantia" w:cs="Tahoma"/>
          <w:sz w:val="24"/>
          <w:szCs w:val="24"/>
        </w:rPr>
        <w:t xml:space="preserve">, Ampumwize </w:t>
      </w:r>
      <w:r w:rsidR="00352229" w:rsidRPr="002B1378">
        <w:rPr>
          <w:rFonts w:ascii="Constantia" w:hAnsi="Constantia" w:cs="Tahoma"/>
          <w:sz w:val="24"/>
          <w:szCs w:val="24"/>
        </w:rPr>
        <w:t>NAD</w:t>
      </w:r>
      <w:r w:rsidRPr="002B1378">
        <w:rPr>
          <w:rFonts w:ascii="Constantia" w:hAnsi="Constantia" w:cs="Tahoma"/>
          <w:sz w:val="24"/>
          <w:szCs w:val="24"/>
        </w:rPr>
        <w:t>, was charged with</w:t>
      </w:r>
      <w:r w:rsidR="00352229" w:rsidRPr="002B1378">
        <w:rPr>
          <w:rFonts w:ascii="Constantia" w:hAnsi="Constantia" w:cs="Tahoma"/>
          <w:sz w:val="24"/>
          <w:szCs w:val="24"/>
        </w:rPr>
        <w:t xml:space="preserve"> the offence of</w:t>
      </w:r>
      <w:r w:rsidRPr="002B1378">
        <w:rPr>
          <w:rFonts w:ascii="Constantia" w:hAnsi="Constantia" w:cs="Tahoma"/>
          <w:sz w:val="24"/>
          <w:szCs w:val="24"/>
        </w:rPr>
        <w:t xml:space="preserve"> Causing Financial loss in C</w:t>
      </w:r>
      <w:r w:rsidR="001A6E2A" w:rsidRPr="002B1378">
        <w:rPr>
          <w:rFonts w:ascii="Constantia" w:hAnsi="Constantia" w:cs="Tahoma"/>
          <w:sz w:val="24"/>
          <w:szCs w:val="24"/>
        </w:rPr>
        <w:t>ount 1 c/s 269 of the Penal C</w:t>
      </w:r>
      <w:r w:rsidR="00C83A57" w:rsidRPr="002B1378">
        <w:rPr>
          <w:rFonts w:ascii="Constantia" w:hAnsi="Constantia" w:cs="Tahoma"/>
          <w:sz w:val="24"/>
          <w:szCs w:val="24"/>
        </w:rPr>
        <w:t>ode Act Cap. 120.</w:t>
      </w:r>
      <w:r w:rsidRPr="002B1378">
        <w:rPr>
          <w:rFonts w:ascii="Constantia" w:hAnsi="Constantia" w:cs="Tahoma"/>
          <w:sz w:val="24"/>
          <w:szCs w:val="24"/>
        </w:rPr>
        <w:t xml:space="preserve"> In the Alternative he wa</w:t>
      </w:r>
      <w:r w:rsidR="00C83A57" w:rsidRPr="002B1378">
        <w:rPr>
          <w:rFonts w:ascii="Constantia" w:hAnsi="Constantia" w:cs="Tahoma"/>
          <w:sz w:val="24"/>
          <w:szCs w:val="24"/>
        </w:rPr>
        <w:t>s charged wi</w:t>
      </w:r>
      <w:r w:rsidRPr="002B1378">
        <w:rPr>
          <w:rFonts w:ascii="Constantia" w:hAnsi="Constantia" w:cs="Tahoma"/>
          <w:sz w:val="24"/>
          <w:szCs w:val="24"/>
        </w:rPr>
        <w:t>th Embezzlement c/s 268 of the Penal C</w:t>
      </w:r>
      <w:r w:rsidR="004F0BF4" w:rsidRPr="002B1378">
        <w:rPr>
          <w:rFonts w:ascii="Constantia" w:hAnsi="Constantia" w:cs="Tahoma"/>
          <w:sz w:val="24"/>
          <w:szCs w:val="24"/>
        </w:rPr>
        <w:t>ode Act as the law then was.</w:t>
      </w:r>
      <w:r w:rsidR="00C83A57" w:rsidRPr="002B1378">
        <w:rPr>
          <w:rFonts w:ascii="Constantia" w:hAnsi="Constantia" w:cs="Tahoma"/>
          <w:sz w:val="24"/>
          <w:szCs w:val="24"/>
        </w:rPr>
        <w:t xml:space="preserve"> </w:t>
      </w:r>
      <w:r w:rsidR="001A6E2A" w:rsidRPr="002B1378">
        <w:rPr>
          <w:rFonts w:ascii="Constantia" w:hAnsi="Constantia" w:cs="Tahoma"/>
          <w:sz w:val="24"/>
          <w:szCs w:val="24"/>
        </w:rPr>
        <w:t>As a result t</w:t>
      </w:r>
      <w:r w:rsidR="00930AFD" w:rsidRPr="002B1378">
        <w:rPr>
          <w:rFonts w:ascii="Constantia" w:hAnsi="Constantia" w:cs="Tahoma"/>
          <w:sz w:val="24"/>
          <w:szCs w:val="24"/>
        </w:rPr>
        <w:t>he Appellant was</w:t>
      </w:r>
      <w:r w:rsidR="001A6E2A" w:rsidRPr="002B1378">
        <w:rPr>
          <w:rFonts w:ascii="Constantia" w:hAnsi="Constantia" w:cs="Tahoma"/>
          <w:sz w:val="24"/>
          <w:szCs w:val="24"/>
        </w:rPr>
        <w:t xml:space="preserve"> tried and</w:t>
      </w:r>
      <w:r w:rsidR="00930AFD" w:rsidRPr="002B1378">
        <w:rPr>
          <w:rFonts w:ascii="Constantia" w:hAnsi="Constantia" w:cs="Tahoma"/>
          <w:sz w:val="24"/>
          <w:szCs w:val="24"/>
        </w:rPr>
        <w:t xml:space="preserve"> found guilty of</w:t>
      </w:r>
      <w:r w:rsidR="001A6E2A" w:rsidRPr="002B1378">
        <w:rPr>
          <w:rFonts w:ascii="Constantia" w:hAnsi="Constantia" w:cs="Tahoma"/>
          <w:sz w:val="24"/>
          <w:szCs w:val="24"/>
        </w:rPr>
        <w:t xml:space="preserve"> the offence</w:t>
      </w:r>
      <w:r w:rsidR="00930AFD" w:rsidRPr="002B1378">
        <w:rPr>
          <w:rFonts w:ascii="Constantia" w:hAnsi="Constantia" w:cs="Tahoma"/>
          <w:sz w:val="24"/>
          <w:szCs w:val="24"/>
        </w:rPr>
        <w:t xml:space="preserve"> Embezzlement and was </w:t>
      </w:r>
      <w:r w:rsidR="009C747F" w:rsidRPr="002B1378">
        <w:rPr>
          <w:rFonts w:ascii="Constantia" w:hAnsi="Constantia" w:cs="Tahoma"/>
          <w:sz w:val="24"/>
          <w:szCs w:val="24"/>
        </w:rPr>
        <w:t>sentenced</w:t>
      </w:r>
      <w:r w:rsidR="001A6E2A" w:rsidRPr="002B1378">
        <w:rPr>
          <w:rFonts w:ascii="Constantia" w:hAnsi="Constantia" w:cs="Tahoma"/>
          <w:sz w:val="24"/>
          <w:szCs w:val="24"/>
        </w:rPr>
        <w:t xml:space="preserve"> to three</w:t>
      </w:r>
      <w:r w:rsidR="00930AFD" w:rsidRPr="002B1378">
        <w:rPr>
          <w:rFonts w:ascii="Constantia" w:hAnsi="Constantia" w:cs="Tahoma"/>
          <w:sz w:val="24"/>
          <w:szCs w:val="24"/>
        </w:rPr>
        <w:t xml:space="preserve"> years</w:t>
      </w:r>
      <w:r w:rsidR="001A6E2A" w:rsidRPr="002B1378">
        <w:rPr>
          <w:rFonts w:ascii="Constantia" w:hAnsi="Constantia" w:cs="Tahoma"/>
          <w:sz w:val="24"/>
          <w:szCs w:val="24"/>
        </w:rPr>
        <w:t>’</w:t>
      </w:r>
      <w:r w:rsidR="00930AFD" w:rsidRPr="002B1378">
        <w:rPr>
          <w:rFonts w:ascii="Constantia" w:hAnsi="Constantia" w:cs="Tahoma"/>
          <w:sz w:val="24"/>
          <w:szCs w:val="24"/>
        </w:rPr>
        <w:t xml:space="preserve"> imprisonment which wa</w:t>
      </w:r>
      <w:r w:rsidR="009C747F" w:rsidRPr="002B1378">
        <w:rPr>
          <w:rFonts w:ascii="Constantia" w:hAnsi="Constantia" w:cs="Tahoma"/>
          <w:sz w:val="24"/>
          <w:szCs w:val="24"/>
        </w:rPr>
        <w:t>s the minimum se</w:t>
      </w:r>
      <w:r w:rsidR="00930AFD" w:rsidRPr="002B1378">
        <w:rPr>
          <w:rFonts w:ascii="Constantia" w:hAnsi="Constantia" w:cs="Tahoma"/>
          <w:sz w:val="24"/>
          <w:szCs w:val="24"/>
        </w:rPr>
        <w:t>ntence prescribed by</w:t>
      </w:r>
      <w:r w:rsidR="004108B0" w:rsidRPr="002B1378">
        <w:rPr>
          <w:rFonts w:ascii="Constantia" w:hAnsi="Constantia" w:cs="Tahoma"/>
          <w:sz w:val="24"/>
          <w:szCs w:val="24"/>
        </w:rPr>
        <w:t xml:space="preserve"> the law</w:t>
      </w:r>
      <w:r w:rsidR="00C1107D" w:rsidRPr="002B1378">
        <w:rPr>
          <w:rFonts w:ascii="Constantia" w:hAnsi="Constantia" w:cs="Tahoma"/>
          <w:sz w:val="24"/>
          <w:szCs w:val="24"/>
        </w:rPr>
        <w:t xml:space="preserve"> in force at</w:t>
      </w:r>
      <w:r w:rsidR="004108B0" w:rsidRPr="002B1378">
        <w:rPr>
          <w:rFonts w:ascii="Constantia" w:hAnsi="Constantia" w:cs="Tahoma"/>
          <w:sz w:val="24"/>
          <w:szCs w:val="24"/>
        </w:rPr>
        <w:t xml:space="preserve"> the time</w:t>
      </w:r>
      <w:r w:rsidR="009C747F" w:rsidRPr="002B1378">
        <w:rPr>
          <w:rFonts w:ascii="Constantia" w:hAnsi="Constantia" w:cs="Tahoma"/>
          <w:sz w:val="24"/>
          <w:szCs w:val="24"/>
        </w:rPr>
        <w:t xml:space="preserve">. </w:t>
      </w:r>
      <w:r w:rsidR="00930AFD" w:rsidRPr="002B1378">
        <w:rPr>
          <w:rFonts w:ascii="Constantia" w:hAnsi="Constantia" w:cs="Tahoma"/>
          <w:sz w:val="24"/>
          <w:szCs w:val="24"/>
        </w:rPr>
        <w:t>In addition, the Appellant was ordered to</w:t>
      </w:r>
      <w:r w:rsidR="001A6E2A" w:rsidRPr="002B1378">
        <w:rPr>
          <w:rFonts w:ascii="Constantia" w:hAnsi="Constantia" w:cs="Tahoma"/>
          <w:sz w:val="24"/>
          <w:szCs w:val="24"/>
        </w:rPr>
        <w:t xml:space="preserve"> either</w:t>
      </w:r>
      <w:r w:rsidR="00930AFD" w:rsidRPr="002B1378">
        <w:rPr>
          <w:rFonts w:ascii="Constantia" w:hAnsi="Constantia" w:cs="Tahoma"/>
          <w:sz w:val="24"/>
          <w:szCs w:val="24"/>
        </w:rPr>
        <w:t xml:space="preserve"> refund UGX</w:t>
      </w:r>
      <w:r w:rsidR="009C747F" w:rsidRPr="002B1378">
        <w:rPr>
          <w:rFonts w:ascii="Constantia" w:hAnsi="Constantia" w:cs="Tahoma"/>
          <w:sz w:val="24"/>
          <w:szCs w:val="24"/>
        </w:rPr>
        <w:t xml:space="preserve"> 12,339,000/= to Kabale </w:t>
      </w:r>
      <w:r w:rsidR="001A6E2A" w:rsidRPr="002B1378">
        <w:rPr>
          <w:rFonts w:ascii="Constantia" w:hAnsi="Constantia" w:cs="Tahoma"/>
          <w:sz w:val="24"/>
          <w:szCs w:val="24"/>
        </w:rPr>
        <w:t>District Local Government or to pay the participants</w:t>
      </w:r>
      <w:r w:rsidR="00C1107D" w:rsidRPr="002B1378">
        <w:rPr>
          <w:rFonts w:ascii="Constantia" w:hAnsi="Constantia" w:cs="Tahoma"/>
          <w:sz w:val="24"/>
          <w:szCs w:val="24"/>
        </w:rPr>
        <w:t xml:space="preserve"> who were not paid</w:t>
      </w:r>
      <w:r w:rsidR="00C876B8" w:rsidRPr="002B1378">
        <w:rPr>
          <w:rFonts w:ascii="Constantia" w:hAnsi="Constantia" w:cs="Tahoma"/>
          <w:sz w:val="24"/>
          <w:szCs w:val="24"/>
        </w:rPr>
        <w:t>.I</w:t>
      </w:r>
      <w:r w:rsidR="00C1107D" w:rsidRPr="002B1378">
        <w:rPr>
          <w:rFonts w:ascii="Constantia" w:hAnsi="Constantia" w:cs="Tahoma"/>
          <w:sz w:val="24"/>
          <w:szCs w:val="24"/>
        </w:rPr>
        <w:t>n the alternative</w:t>
      </w:r>
      <w:r w:rsidR="00423269" w:rsidRPr="002B1378">
        <w:rPr>
          <w:rFonts w:ascii="Constantia" w:hAnsi="Constantia" w:cs="Tahoma"/>
          <w:sz w:val="24"/>
          <w:szCs w:val="24"/>
        </w:rPr>
        <w:t xml:space="preserve"> he was ordered</w:t>
      </w:r>
      <w:r w:rsidR="004108B0" w:rsidRPr="002B1378">
        <w:rPr>
          <w:rFonts w:ascii="Constantia" w:hAnsi="Constantia" w:cs="Tahoma"/>
          <w:sz w:val="24"/>
          <w:szCs w:val="24"/>
        </w:rPr>
        <w:t xml:space="preserve"> to return</w:t>
      </w:r>
      <w:r w:rsidR="001A6E2A" w:rsidRPr="002B1378">
        <w:rPr>
          <w:rFonts w:ascii="Constantia" w:hAnsi="Constantia" w:cs="Tahoma"/>
          <w:sz w:val="24"/>
          <w:szCs w:val="24"/>
        </w:rPr>
        <w:t xml:space="preserve"> the money to the PDM S</w:t>
      </w:r>
      <w:r w:rsidR="009C747F" w:rsidRPr="002B1378">
        <w:rPr>
          <w:rFonts w:ascii="Constantia" w:hAnsi="Constantia" w:cs="Tahoma"/>
          <w:sz w:val="24"/>
          <w:szCs w:val="24"/>
        </w:rPr>
        <w:t>ecretariat</w:t>
      </w:r>
      <w:r w:rsidR="008A56FB" w:rsidRPr="002B1378">
        <w:rPr>
          <w:rFonts w:ascii="Constantia" w:hAnsi="Constantia" w:cs="Tahoma"/>
          <w:sz w:val="24"/>
          <w:szCs w:val="24"/>
        </w:rPr>
        <w:t>, a programme which falls</w:t>
      </w:r>
      <w:r w:rsidR="001A6E2A" w:rsidRPr="002B1378">
        <w:rPr>
          <w:rFonts w:ascii="Constantia" w:hAnsi="Constantia" w:cs="Tahoma"/>
          <w:sz w:val="24"/>
          <w:szCs w:val="24"/>
        </w:rPr>
        <w:t xml:space="preserve"> under the Ministry of Local </w:t>
      </w:r>
      <w:r w:rsidR="00D05A59" w:rsidRPr="002B1378">
        <w:rPr>
          <w:rFonts w:ascii="Constantia" w:hAnsi="Constantia" w:cs="Tahoma"/>
          <w:sz w:val="24"/>
          <w:szCs w:val="24"/>
        </w:rPr>
        <w:t>Government in</w:t>
      </w:r>
      <w:r w:rsidR="001A6E2A" w:rsidRPr="002B1378">
        <w:rPr>
          <w:rFonts w:ascii="Constantia" w:hAnsi="Constantia" w:cs="Tahoma"/>
          <w:sz w:val="24"/>
          <w:szCs w:val="24"/>
        </w:rPr>
        <w:t xml:space="preserve"> Kampala.  The refund orders were made under</w:t>
      </w:r>
      <w:r w:rsidR="009C747F" w:rsidRPr="002B1378">
        <w:rPr>
          <w:rFonts w:ascii="Constantia" w:hAnsi="Constantia" w:cs="Tahoma"/>
          <w:sz w:val="24"/>
          <w:szCs w:val="24"/>
        </w:rPr>
        <w:t xml:space="preserve"> S.270 of the MCA</w:t>
      </w:r>
      <w:r w:rsidR="004108B0" w:rsidRPr="002B1378">
        <w:rPr>
          <w:rFonts w:ascii="Constantia" w:hAnsi="Constantia" w:cs="Tahoma"/>
          <w:sz w:val="24"/>
          <w:szCs w:val="24"/>
        </w:rPr>
        <w:t>.</w:t>
      </w:r>
    </w:p>
    <w:p w:rsidR="00C83A57" w:rsidRPr="002B1378" w:rsidRDefault="00930AFD" w:rsidP="00C83A57">
      <w:pPr>
        <w:spacing w:line="360" w:lineRule="auto"/>
        <w:jc w:val="both"/>
        <w:rPr>
          <w:rFonts w:ascii="Constantia" w:hAnsi="Constantia" w:cs="Tahoma"/>
          <w:sz w:val="24"/>
          <w:szCs w:val="24"/>
        </w:rPr>
      </w:pPr>
      <w:r w:rsidRPr="002B1378">
        <w:rPr>
          <w:rFonts w:ascii="Constantia" w:hAnsi="Constantia" w:cs="Tahoma"/>
          <w:sz w:val="24"/>
          <w:szCs w:val="24"/>
        </w:rPr>
        <w:t>Further</w:t>
      </w:r>
      <w:r w:rsidR="004108B0" w:rsidRPr="002B1378">
        <w:rPr>
          <w:rFonts w:ascii="Constantia" w:hAnsi="Constantia" w:cs="Tahoma"/>
          <w:sz w:val="24"/>
          <w:szCs w:val="24"/>
        </w:rPr>
        <w:t>,</w:t>
      </w:r>
      <w:r w:rsidRPr="002B1378">
        <w:rPr>
          <w:rFonts w:ascii="Constantia" w:hAnsi="Constantia" w:cs="Tahoma"/>
          <w:sz w:val="24"/>
          <w:szCs w:val="24"/>
        </w:rPr>
        <w:t xml:space="preserve"> in</w:t>
      </w:r>
      <w:r w:rsidR="00D05A59" w:rsidRPr="002B1378">
        <w:rPr>
          <w:rFonts w:ascii="Constantia" w:hAnsi="Constantia" w:cs="Tahoma"/>
          <w:sz w:val="24"/>
          <w:szCs w:val="24"/>
        </w:rPr>
        <w:t>Count No. 3</w:t>
      </w:r>
      <w:r w:rsidRPr="002B1378">
        <w:rPr>
          <w:rFonts w:ascii="Constantia" w:hAnsi="Constantia" w:cs="Tahoma"/>
          <w:sz w:val="24"/>
          <w:szCs w:val="24"/>
        </w:rPr>
        <w:t>, the</w:t>
      </w:r>
      <w:r w:rsidR="004108B0" w:rsidRPr="002B1378">
        <w:rPr>
          <w:rFonts w:ascii="Constantia" w:hAnsi="Constantia" w:cs="Tahoma"/>
          <w:sz w:val="24"/>
          <w:szCs w:val="24"/>
        </w:rPr>
        <w:t xml:space="preserve"> Appellant</w:t>
      </w:r>
      <w:r w:rsidRPr="002B1378">
        <w:rPr>
          <w:rFonts w:ascii="Constantia" w:hAnsi="Constantia" w:cs="Tahoma"/>
          <w:sz w:val="24"/>
          <w:szCs w:val="24"/>
        </w:rPr>
        <w:t xml:space="preserve"> was charged with A</w:t>
      </w:r>
      <w:r w:rsidR="00C83A57" w:rsidRPr="002B1378">
        <w:rPr>
          <w:rFonts w:ascii="Constantia" w:hAnsi="Constantia" w:cs="Tahoma"/>
          <w:sz w:val="24"/>
          <w:szCs w:val="24"/>
        </w:rPr>
        <w:t xml:space="preserve">buse of office c/s 87 </w:t>
      </w:r>
      <w:r w:rsidR="00423269" w:rsidRPr="002B1378">
        <w:rPr>
          <w:rFonts w:ascii="Constantia" w:hAnsi="Constantia" w:cs="Tahoma"/>
          <w:sz w:val="24"/>
          <w:szCs w:val="24"/>
        </w:rPr>
        <w:t>of the Penal code Act and i</w:t>
      </w:r>
      <w:r w:rsidR="00D05A59" w:rsidRPr="002B1378">
        <w:rPr>
          <w:rFonts w:ascii="Constantia" w:hAnsi="Constantia" w:cs="Tahoma"/>
          <w:sz w:val="24"/>
          <w:szCs w:val="24"/>
        </w:rPr>
        <w:t xml:space="preserve">n Count No. </w:t>
      </w:r>
      <w:r w:rsidR="00423269" w:rsidRPr="002B1378">
        <w:rPr>
          <w:rFonts w:ascii="Constantia" w:hAnsi="Constantia" w:cs="Tahoma"/>
          <w:sz w:val="24"/>
          <w:szCs w:val="24"/>
        </w:rPr>
        <w:t>4, he wa</w:t>
      </w:r>
      <w:r w:rsidR="00D05A59" w:rsidRPr="002B1378">
        <w:rPr>
          <w:rFonts w:ascii="Constantia" w:hAnsi="Constantia" w:cs="Tahoma"/>
          <w:sz w:val="24"/>
          <w:szCs w:val="24"/>
        </w:rPr>
        <w:t>s charged with F</w:t>
      </w:r>
      <w:r w:rsidR="00C83A57" w:rsidRPr="002B1378">
        <w:rPr>
          <w:rFonts w:ascii="Constantia" w:hAnsi="Constantia" w:cs="Tahoma"/>
          <w:sz w:val="24"/>
          <w:szCs w:val="24"/>
        </w:rPr>
        <w:t>alse Accounting by a Public office c/s 326 of the Penal Code Act.</w:t>
      </w:r>
      <w:r w:rsidR="00423269" w:rsidRPr="002B1378">
        <w:rPr>
          <w:rFonts w:ascii="Constantia" w:hAnsi="Constantia" w:cs="Tahoma"/>
          <w:sz w:val="24"/>
          <w:szCs w:val="24"/>
        </w:rPr>
        <w:t>Consequently the appellant was convicted of the offence of Abuse of Office i</w:t>
      </w:r>
      <w:r w:rsidR="00D05A59" w:rsidRPr="002B1378">
        <w:rPr>
          <w:rFonts w:ascii="Constantia" w:hAnsi="Constantia" w:cs="Tahoma"/>
          <w:sz w:val="24"/>
          <w:szCs w:val="24"/>
        </w:rPr>
        <w:t xml:space="preserve">n Count </w:t>
      </w:r>
      <w:r w:rsidR="00423269" w:rsidRPr="002B1378">
        <w:rPr>
          <w:rFonts w:ascii="Constantia" w:hAnsi="Constantia" w:cs="Tahoma"/>
          <w:sz w:val="24"/>
          <w:szCs w:val="24"/>
        </w:rPr>
        <w:t>No.3 and</w:t>
      </w:r>
      <w:r w:rsidR="009C747F" w:rsidRPr="002B1378">
        <w:rPr>
          <w:rFonts w:ascii="Constantia" w:hAnsi="Constantia" w:cs="Tahoma"/>
          <w:sz w:val="24"/>
          <w:szCs w:val="24"/>
        </w:rPr>
        <w:t xml:space="preserve"> sentenced to t</w:t>
      </w:r>
      <w:r w:rsidR="004108B0" w:rsidRPr="002B1378">
        <w:rPr>
          <w:rFonts w:ascii="Constantia" w:hAnsi="Constantia" w:cs="Tahoma"/>
          <w:sz w:val="24"/>
          <w:szCs w:val="24"/>
        </w:rPr>
        <w:t>wo years imprisonment. R</w:t>
      </w:r>
      <w:r w:rsidR="00423269" w:rsidRPr="002B1378">
        <w:rPr>
          <w:rFonts w:ascii="Constantia" w:hAnsi="Constantia" w:cs="Tahoma"/>
          <w:sz w:val="24"/>
          <w:szCs w:val="24"/>
        </w:rPr>
        <w:t>egarding the offence of</w:t>
      </w:r>
      <w:r w:rsidR="009C747F" w:rsidRPr="002B1378">
        <w:rPr>
          <w:rFonts w:ascii="Constantia" w:hAnsi="Constantia" w:cs="Tahoma"/>
          <w:sz w:val="24"/>
          <w:szCs w:val="24"/>
        </w:rPr>
        <w:t xml:space="preserve"> False Accounting by Public Officer</w:t>
      </w:r>
      <w:r w:rsidR="00423269" w:rsidRPr="002B1378">
        <w:rPr>
          <w:rFonts w:ascii="Constantia" w:hAnsi="Constantia" w:cs="Tahoma"/>
          <w:sz w:val="24"/>
          <w:szCs w:val="24"/>
        </w:rPr>
        <w:t xml:space="preserve"> in count No.4, </w:t>
      </w:r>
      <w:r w:rsidRPr="002B1378">
        <w:rPr>
          <w:rFonts w:ascii="Constantia" w:hAnsi="Constantia" w:cs="Tahoma"/>
          <w:sz w:val="24"/>
          <w:szCs w:val="24"/>
        </w:rPr>
        <w:t>the Appellant wa</w:t>
      </w:r>
      <w:r w:rsidR="009C747F" w:rsidRPr="002B1378">
        <w:rPr>
          <w:rFonts w:ascii="Constantia" w:hAnsi="Constantia" w:cs="Tahoma"/>
          <w:sz w:val="24"/>
          <w:szCs w:val="24"/>
        </w:rPr>
        <w:t>s sentenced to 1 year</w:t>
      </w:r>
      <w:r w:rsidR="00423269" w:rsidRPr="002B1378">
        <w:rPr>
          <w:rFonts w:ascii="Constantia" w:hAnsi="Constantia" w:cs="Tahoma"/>
          <w:sz w:val="24"/>
          <w:szCs w:val="24"/>
        </w:rPr>
        <w:t>s’</w:t>
      </w:r>
      <w:r w:rsidR="009C747F" w:rsidRPr="002B1378">
        <w:rPr>
          <w:rFonts w:ascii="Constantia" w:hAnsi="Constantia" w:cs="Tahoma"/>
          <w:sz w:val="24"/>
          <w:szCs w:val="24"/>
        </w:rPr>
        <w:t xml:space="preserve"> imprison</w:t>
      </w:r>
      <w:r w:rsidR="004108B0" w:rsidRPr="002B1378">
        <w:rPr>
          <w:rFonts w:ascii="Constantia" w:hAnsi="Constantia" w:cs="Tahoma"/>
          <w:sz w:val="24"/>
          <w:szCs w:val="24"/>
        </w:rPr>
        <w:t>ment. It was</w:t>
      </w:r>
      <w:r w:rsidR="008A56FB" w:rsidRPr="002B1378">
        <w:rPr>
          <w:rFonts w:ascii="Constantia" w:hAnsi="Constantia" w:cs="Tahoma"/>
          <w:sz w:val="24"/>
          <w:szCs w:val="24"/>
        </w:rPr>
        <w:t xml:space="preserve"> also</w:t>
      </w:r>
      <w:r w:rsidR="005C3C50" w:rsidRPr="002B1378">
        <w:rPr>
          <w:rFonts w:ascii="Constantia" w:hAnsi="Constantia" w:cs="Tahoma"/>
          <w:sz w:val="24"/>
          <w:szCs w:val="24"/>
        </w:rPr>
        <w:t xml:space="preserve"> ordered</w:t>
      </w:r>
      <w:r w:rsidR="00423269" w:rsidRPr="002B1378">
        <w:rPr>
          <w:rFonts w:ascii="Constantia" w:hAnsi="Constantia" w:cs="Tahoma"/>
          <w:sz w:val="24"/>
          <w:szCs w:val="24"/>
        </w:rPr>
        <w:t xml:space="preserve"> tha</w:t>
      </w:r>
      <w:r w:rsidR="004108B0" w:rsidRPr="002B1378">
        <w:rPr>
          <w:rFonts w:ascii="Constantia" w:hAnsi="Constantia" w:cs="Tahoma"/>
          <w:sz w:val="24"/>
          <w:szCs w:val="24"/>
        </w:rPr>
        <w:t>t</w:t>
      </w:r>
      <w:r w:rsidR="008A56FB" w:rsidRPr="002B1378">
        <w:rPr>
          <w:rFonts w:ascii="Constantia" w:hAnsi="Constantia" w:cs="Tahoma"/>
          <w:sz w:val="24"/>
          <w:szCs w:val="24"/>
        </w:rPr>
        <w:t xml:space="preserve"> all</w:t>
      </w:r>
      <w:r w:rsidR="004108B0" w:rsidRPr="002B1378">
        <w:rPr>
          <w:rFonts w:ascii="Constantia" w:hAnsi="Constantia" w:cs="Tahoma"/>
          <w:sz w:val="24"/>
          <w:szCs w:val="24"/>
        </w:rPr>
        <w:t xml:space="preserve"> the terms of imprisonment</w:t>
      </w:r>
      <w:r w:rsidR="009C747F" w:rsidRPr="002B1378">
        <w:rPr>
          <w:rFonts w:ascii="Constantia" w:hAnsi="Constantia" w:cs="Tahoma"/>
          <w:sz w:val="24"/>
          <w:szCs w:val="24"/>
        </w:rPr>
        <w:t xml:space="preserve"> run concurrently.</w:t>
      </w:r>
    </w:p>
    <w:p w:rsidR="00C83A57" w:rsidRPr="002B1378" w:rsidRDefault="00C83A57" w:rsidP="00C83A57">
      <w:pPr>
        <w:spacing w:line="360" w:lineRule="auto"/>
        <w:jc w:val="both"/>
        <w:rPr>
          <w:rFonts w:ascii="Constantia" w:hAnsi="Constantia" w:cs="Tahoma"/>
          <w:sz w:val="24"/>
          <w:szCs w:val="24"/>
        </w:rPr>
      </w:pPr>
      <w:r w:rsidRPr="002B1378">
        <w:rPr>
          <w:rFonts w:ascii="Constantia" w:hAnsi="Constantia" w:cs="Tahoma"/>
          <w:sz w:val="24"/>
          <w:szCs w:val="24"/>
        </w:rPr>
        <w:t>Prosecution produced twenty five (25)</w:t>
      </w:r>
      <w:r w:rsidR="00832A29" w:rsidRPr="002B1378">
        <w:rPr>
          <w:rFonts w:ascii="Constantia" w:hAnsi="Constantia" w:cs="Tahoma"/>
          <w:sz w:val="24"/>
          <w:szCs w:val="24"/>
        </w:rPr>
        <w:t xml:space="preserve"> witnesses and the accused gave a sworn defence.</w:t>
      </w:r>
    </w:p>
    <w:p w:rsidR="00DC47D5" w:rsidRPr="002B1378" w:rsidRDefault="00DC47D5" w:rsidP="00C83A57">
      <w:pPr>
        <w:spacing w:line="360" w:lineRule="auto"/>
        <w:jc w:val="both"/>
        <w:rPr>
          <w:rFonts w:ascii="Constantia" w:hAnsi="Constantia" w:cs="Tahoma"/>
          <w:sz w:val="24"/>
          <w:szCs w:val="24"/>
        </w:rPr>
      </w:pPr>
    </w:p>
    <w:p w:rsidR="00C83A57" w:rsidRPr="002B1378" w:rsidRDefault="005C3C50" w:rsidP="00C83A57">
      <w:pPr>
        <w:spacing w:line="360" w:lineRule="auto"/>
        <w:jc w:val="both"/>
        <w:rPr>
          <w:rFonts w:ascii="Constantia" w:hAnsi="Constantia" w:cs="Tahoma"/>
          <w:sz w:val="24"/>
          <w:szCs w:val="24"/>
        </w:rPr>
      </w:pPr>
      <w:r w:rsidRPr="002B1378">
        <w:rPr>
          <w:rFonts w:ascii="Constantia" w:hAnsi="Constantia" w:cs="Tahoma"/>
          <w:sz w:val="24"/>
          <w:szCs w:val="24"/>
        </w:rPr>
        <w:t>The brief facts of this case were that i</w:t>
      </w:r>
      <w:r w:rsidR="00C83A57" w:rsidRPr="002B1378">
        <w:rPr>
          <w:rFonts w:ascii="Constantia" w:hAnsi="Constantia" w:cs="Tahoma"/>
          <w:sz w:val="24"/>
          <w:szCs w:val="24"/>
        </w:rPr>
        <w:t xml:space="preserve">n 2002 Ministry of Local Government </w:t>
      </w:r>
      <w:r w:rsidR="001F56CD" w:rsidRPr="002B1378">
        <w:rPr>
          <w:rFonts w:ascii="Constantia" w:hAnsi="Constantia" w:cs="Tahoma"/>
          <w:sz w:val="24"/>
          <w:szCs w:val="24"/>
        </w:rPr>
        <w:t xml:space="preserve">introduced </w:t>
      </w:r>
      <w:r w:rsidR="00C83A57" w:rsidRPr="002B1378">
        <w:rPr>
          <w:rFonts w:ascii="Constantia" w:hAnsi="Constantia" w:cs="Tahoma"/>
          <w:sz w:val="24"/>
          <w:szCs w:val="24"/>
        </w:rPr>
        <w:t>Parti</w:t>
      </w:r>
      <w:r w:rsidR="001F56CD" w:rsidRPr="002B1378">
        <w:rPr>
          <w:rFonts w:ascii="Constantia" w:hAnsi="Constantia" w:cs="Tahoma"/>
          <w:sz w:val="24"/>
          <w:szCs w:val="24"/>
        </w:rPr>
        <w:t>cipatory Development Management (PDM)</w:t>
      </w:r>
      <w:r w:rsidR="00C83A57" w:rsidRPr="002B1378">
        <w:rPr>
          <w:rFonts w:ascii="Constantia" w:hAnsi="Constantia" w:cs="Tahoma"/>
          <w:sz w:val="24"/>
          <w:szCs w:val="24"/>
        </w:rPr>
        <w:t xml:space="preserve"> proj</w:t>
      </w:r>
      <w:r w:rsidR="001F56CD" w:rsidRPr="002B1378">
        <w:rPr>
          <w:rFonts w:ascii="Constantia" w:hAnsi="Constantia" w:cs="Tahoma"/>
          <w:sz w:val="24"/>
          <w:szCs w:val="24"/>
        </w:rPr>
        <w:t xml:space="preserve">ect in Kabale District. </w:t>
      </w:r>
      <w:r w:rsidR="004108B0" w:rsidRPr="002B1378">
        <w:rPr>
          <w:rFonts w:ascii="Constantia" w:hAnsi="Constantia" w:cs="Tahoma"/>
          <w:sz w:val="24"/>
          <w:szCs w:val="24"/>
        </w:rPr>
        <w:t xml:space="preserve"> Bubare</w:t>
      </w:r>
      <w:r w:rsidR="00C83A57" w:rsidRPr="002B1378">
        <w:rPr>
          <w:rFonts w:ascii="Constantia" w:hAnsi="Constantia" w:cs="Tahoma"/>
          <w:sz w:val="24"/>
          <w:szCs w:val="24"/>
        </w:rPr>
        <w:t xml:space="preserve"> </w:t>
      </w:r>
      <w:r w:rsidR="00C83A57" w:rsidRPr="002B1378">
        <w:rPr>
          <w:rFonts w:ascii="Constantia" w:hAnsi="Constantia" w:cs="Tahoma"/>
          <w:sz w:val="24"/>
          <w:szCs w:val="24"/>
        </w:rPr>
        <w:lastRenderedPageBreak/>
        <w:t xml:space="preserve">Sub County was </w:t>
      </w:r>
      <w:r w:rsidR="001F56CD" w:rsidRPr="002B1378">
        <w:rPr>
          <w:rFonts w:ascii="Constantia" w:hAnsi="Constantia" w:cs="Tahoma"/>
          <w:sz w:val="24"/>
          <w:szCs w:val="24"/>
        </w:rPr>
        <w:t>selected</w:t>
      </w:r>
      <w:r w:rsidR="00C83A57" w:rsidRPr="002B1378">
        <w:rPr>
          <w:rFonts w:ascii="Constantia" w:hAnsi="Constantia" w:cs="Tahoma"/>
          <w:sz w:val="24"/>
          <w:szCs w:val="24"/>
        </w:rPr>
        <w:t xml:space="preserve"> to pil</w:t>
      </w:r>
      <w:r w:rsidR="004108B0" w:rsidRPr="002B1378">
        <w:rPr>
          <w:rFonts w:ascii="Constantia" w:hAnsi="Constantia" w:cs="Tahoma"/>
          <w:sz w:val="24"/>
          <w:szCs w:val="24"/>
        </w:rPr>
        <w:t xml:space="preserve">ot the project. </w:t>
      </w:r>
      <w:r w:rsidRPr="002B1378">
        <w:rPr>
          <w:rFonts w:ascii="Constantia" w:hAnsi="Constantia" w:cs="Tahoma"/>
          <w:sz w:val="24"/>
          <w:szCs w:val="24"/>
        </w:rPr>
        <w:t>The Appellant</w:t>
      </w:r>
      <w:r w:rsidR="004108B0" w:rsidRPr="002B1378">
        <w:rPr>
          <w:rFonts w:ascii="Constantia" w:hAnsi="Constantia" w:cs="Tahoma"/>
          <w:sz w:val="24"/>
          <w:szCs w:val="24"/>
        </w:rPr>
        <w:t xml:space="preserve"> was at all material </w:t>
      </w:r>
      <w:r w:rsidR="00C83A57" w:rsidRPr="002B1378">
        <w:rPr>
          <w:rFonts w:ascii="Constantia" w:hAnsi="Constantia" w:cs="Tahoma"/>
          <w:sz w:val="24"/>
          <w:szCs w:val="24"/>
        </w:rPr>
        <w:t>time</w:t>
      </w:r>
      <w:r w:rsidR="004108B0" w:rsidRPr="002B1378">
        <w:rPr>
          <w:rFonts w:ascii="Constantia" w:hAnsi="Constantia" w:cs="Tahoma"/>
          <w:sz w:val="24"/>
          <w:szCs w:val="24"/>
        </w:rPr>
        <w:t>s</w:t>
      </w:r>
      <w:r w:rsidR="00C83A57" w:rsidRPr="002B1378">
        <w:rPr>
          <w:rFonts w:ascii="Constantia" w:hAnsi="Constantia" w:cs="Tahoma"/>
          <w:sz w:val="24"/>
          <w:szCs w:val="24"/>
        </w:rPr>
        <w:t xml:space="preserve"> employed by Kabale District Local Government as Senior Economist</w:t>
      </w:r>
      <w:r w:rsidR="001F56CD" w:rsidRPr="002B1378">
        <w:rPr>
          <w:rFonts w:ascii="Constantia" w:hAnsi="Constantia" w:cs="Tahoma"/>
          <w:sz w:val="24"/>
          <w:szCs w:val="24"/>
        </w:rPr>
        <w:t>. B</w:t>
      </w:r>
      <w:r w:rsidR="004108B0" w:rsidRPr="002B1378">
        <w:rPr>
          <w:rFonts w:ascii="Constantia" w:hAnsi="Constantia" w:cs="Tahoma"/>
          <w:sz w:val="24"/>
          <w:szCs w:val="24"/>
        </w:rPr>
        <w:t>y virtue of his posit</w:t>
      </w:r>
      <w:r w:rsidR="001F56CD" w:rsidRPr="002B1378">
        <w:rPr>
          <w:rFonts w:ascii="Constantia" w:hAnsi="Constantia" w:cs="Tahoma"/>
          <w:sz w:val="24"/>
          <w:szCs w:val="24"/>
        </w:rPr>
        <w:t>ion as the Senior Economist the</w:t>
      </w:r>
      <w:r w:rsidR="004108B0" w:rsidRPr="002B1378">
        <w:rPr>
          <w:rFonts w:ascii="Constantia" w:hAnsi="Constantia" w:cs="Tahoma"/>
          <w:sz w:val="24"/>
          <w:szCs w:val="24"/>
        </w:rPr>
        <w:t xml:space="preserve"> Appellant, who headed</w:t>
      </w:r>
      <w:r w:rsidR="00C83A57" w:rsidRPr="002B1378">
        <w:rPr>
          <w:rFonts w:ascii="Constantia" w:hAnsi="Constantia" w:cs="Tahoma"/>
          <w:sz w:val="24"/>
          <w:szCs w:val="24"/>
        </w:rPr>
        <w:t xml:space="preserve"> the pla</w:t>
      </w:r>
      <w:r w:rsidR="001F56CD" w:rsidRPr="002B1378">
        <w:rPr>
          <w:rFonts w:ascii="Constantia" w:hAnsi="Constantia" w:cs="Tahoma"/>
          <w:sz w:val="24"/>
          <w:szCs w:val="24"/>
        </w:rPr>
        <w:t>nning unit, natural</w:t>
      </w:r>
      <w:r w:rsidR="00643446" w:rsidRPr="002B1378">
        <w:rPr>
          <w:rFonts w:ascii="Constantia" w:hAnsi="Constantia" w:cs="Tahoma"/>
          <w:sz w:val="24"/>
          <w:szCs w:val="24"/>
        </w:rPr>
        <w:t>ly</w:t>
      </w:r>
      <w:r w:rsidR="001F56CD" w:rsidRPr="002B1378">
        <w:rPr>
          <w:rFonts w:ascii="Constantia" w:hAnsi="Constantia" w:cs="Tahoma"/>
          <w:sz w:val="24"/>
          <w:szCs w:val="24"/>
        </w:rPr>
        <w:t>, became the supervisor of</w:t>
      </w:r>
      <w:r w:rsidR="00C83A57" w:rsidRPr="002B1378">
        <w:rPr>
          <w:rFonts w:ascii="Constantia" w:hAnsi="Constantia" w:cs="Tahoma"/>
          <w:sz w:val="24"/>
          <w:szCs w:val="24"/>
        </w:rPr>
        <w:t xml:space="preserve"> the PDM Project.</w:t>
      </w:r>
    </w:p>
    <w:p w:rsidR="000414EB" w:rsidRPr="002B1378" w:rsidRDefault="00DF3529" w:rsidP="00FC4B20">
      <w:pPr>
        <w:spacing w:line="360" w:lineRule="auto"/>
        <w:jc w:val="both"/>
        <w:rPr>
          <w:rFonts w:ascii="Constantia" w:hAnsi="Constantia"/>
          <w:sz w:val="24"/>
          <w:szCs w:val="24"/>
        </w:rPr>
      </w:pPr>
      <w:r w:rsidRPr="002B1378">
        <w:rPr>
          <w:rFonts w:ascii="Constantia" w:hAnsi="Constantia"/>
          <w:sz w:val="24"/>
          <w:szCs w:val="24"/>
        </w:rPr>
        <w:t>The PDM Secretariat, M</w:t>
      </w:r>
      <w:r w:rsidR="001F56CD" w:rsidRPr="002B1378">
        <w:rPr>
          <w:rFonts w:ascii="Constantia" w:hAnsi="Constantia"/>
          <w:sz w:val="24"/>
          <w:szCs w:val="24"/>
        </w:rPr>
        <w:t>inistry of Local Government remitted</w:t>
      </w:r>
      <w:r w:rsidRPr="002B1378">
        <w:rPr>
          <w:rFonts w:ascii="Constantia" w:hAnsi="Constantia"/>
          <w:sz w:val="24"/>
          <w:szCs w:val="24"/>
        </w:rPr>
        <w:t xml:space="preserve"> funds to the PDM project in Bubare through the then CAO (Chief Administrative Officer) Kabale, PW1 Mr. Samuel</w:t>
      </w:r>
      <w:r w:rsidR="00217A13" w:rsidRPr="002B1378">
        <w:rPr>
          <w:rFonts w:ascii="Constantia" w:hAnsi="Constantia"/>
          <w:sz w:val="24"/>
          <w:szCs w:val="24"/>
        </w:rPr>
        <w:t xml:space="preserve"> Katehangwa. The funds were remitted by Bank drafts upon which</w:t>
      </w:r>
      <w:r w:rsidRPr="002B1378">
        <w:rPr>
          <w:rFonts w:ascii="Constantia" w:hAnsi="Constantia"/>
          <w:sz w:val="24"/>
          <w:szCs w:val="24"/>
        </w:rPr>
        <w:t xml:space="preserve"> Kabale District Local Government</w:t>
      </w:r>
      <w:r w:rsidR="00217A13" w:rsidRPr="002B1378">
        <w:rPr>
          <w:rFonts w:ascii="Constantia" w:hAnsi="Constantia"/>
          <w:sz w:val="24"/>
          <w:szCs w:val="24"/>
        </w:rPr>
        <w:t xml:space="preserve"> duly</w:t>
      </w:r>
      <w:r w:rsidRPr="002B1378">
        <w:rPr>
          <w:rFonts w:ascii="Constantia" w:hAnsi="Constantia"/>
          <w:sz w:val="24"/>
          <w:szCs w:val="24"/>
        </w:rPr>
        <w:t xml:space="preserve"> acknowledged receipt of the money by issuing Treasury General </w:t>
      </w:r>
      <w:r w:rsidR="00B47501" w:rsidRPr="002B1378">
        <w:rPr>
          <w:rFonts w:ascii="Constantia" w:hAnsi="Constantia"/>
          <w:sz w:val="24"/>
          <w:szCs w:val="24"/>
        </w:rPr>
        <w:t>Receipts</w:t>
      </w:r>
      <w:r w:rsidRPr="002B1378">
        <w:rPr>
          <w:rFonts w:ascii="Constantia" w:hAnsi="Constantia"/>
          <w:sz w:val="24"/>
          <w:szCs w:val="24"/>
        </w:rPr>
        <w:t xml:space="preserve"> which were marked P.Exh. 1 (a) - (d). </w:t>
      </w:r>
      <w:r w:rsidR="005C3C50" w:rsidRPr="002B1378">
        <w:rPr>
          <w:rFonts w:ascii="Constantia" w:hAnsi="Constantia"/>
          <w:sz w:val="24"/>
          <w:szCs w:val="24"/>
        </w:rPr>
        <w:t xml:space="preserve">It is alleged that the Appellant, being the project manager for the PDM project embezzled project funds amounting to UGX </w:t>
      </w:r>
      <w:r w:rsidR="005C3C50" w:rsidRPr="002B1378">
        <w:rPr>
          <w:rFonts w:ascii="Constantia" w:hAnsi="Constantia" w:cs="Tahoma"/>
          <w:sz w:val="24"/>
          <w:szCs w:val="24"/>
        </w:rPr>
        <w:t>12,339,000/=</w:t>
      </w:r>
      <w:r w:rsidR="005C3C50" w:rsidRPr="002B1378">
        <w:rPr>
          <w:rFonts w:ascii="Constantia" w:hAnsi="Constantia"/>
          <w:sz w:val="24"/>
          <w:szCs w:val="24"/>
        </w:rPr>
        <w:t xml:space="preserve"> and furnished false accountability to explain away the theft. The Appellant denied the cha</w:t>
      </w:r>
      <w:r w:rsidR="00217A13" w:rsidRPr="002B1378">
        <w:rPr>
          <w:rFonts w:ascii="Constantia" w:hAnsi="Constantia"/>
          <w:sz w:val="24"/>
          <w:szCs w:val="24"/>
        </w:rPr>
        <w:t>rges and insisted that his accountability was accurate and proper</w:t>
      </w:r>
      <w:r w:rsidR="005C3C50" w:rsidRPr="002B1378">
        <w:rPr>
          <w:rFonts w:ascii="Constantia" w:hAnsi="Constantia"/>
          <w:sz w:val="24"/>
          <w:szCs w:val="24"/>
        </w:rPr>
        <w:t>.</w:t>
      </w:r>
    </w:p>
    <w:p w:rsidR="0028483A" w:rsidRPr="002B1378" w:rsidRDefault="001F4B72" w:rsidP="000414EB">
      <w:pPr>
        <w:spacing w:line="360" w:lineRule="auto"/>
        <w:jc w:val="both"/>
        <w:rPr>
          <w:rFonts w:ascii="Constantia" w:hAnsi="Constantia"/>
          <w:i/>
          <w:color w:val="000000" w:themeColor="text1"/>
          <w:sz w:val="24"/>
          <w:szCs w:val="24"/>
        </w:rPr>
      </w:pPr>
      <w:r w:rsidRPr="002B1378">
        <w:rPr>
          <w:rFonts w:ascii="Constantia" w:hAnsi="Constantia"/>
          <w:color w:val="000000" w:themeColor="text1"/>
          <w:sz w:val="24"/>
          <w:szCs w:val="24"/>
        </w:rPr>
        <w:t>The Appellant raised nine</w:t>
      </w:r>
      <w:r w:rsidR="0028483A" w:rsidRPr="002B1378">
        <w:rPr>
          <w:rFonts w:ascii="Constantia" w:hAnsi="Constantia"/>
          <w:color w:val="000000" w:themeColor="text1"/>
          <w:sz w:val="24"/>
          <w:szCs w:val="24"/>
        </w:rPr>
        <w:t xml:space="preserve"> grounds of appeal. I have resolved them as follows: Ground</w:t>
      </w:r>
      <w:r w:rsidR="00FC33E6" w:rsidRPr="002B1378">
        <w:rPr>
          <w:rFonts w:ascii="Constantia" w:hAnsi="Constantia"/>
          <w:color w:val="000000" w:themeColor="text1"/>
          <w:sz w:val="24"/>
          <w:szCs w:val="24"/>
        </w:rPr>
        <w:t>s</w:t>
      </w:r>
      <w:r w:rsidR="00FA3F3D" w:rsidRPr="002B1378">
        <w:rPr>
          <w:rFonts w:ascii="Constantia" w:hAnsi="Constantia"/>
          <w:color w:val="000000" w:themeColor="text1"/>
          <w:sz w:val="24"/>
          <w:szCs w:val="24"/>
        </w:rPr>
        <w:t xml:space="preserve"> No</w:t>
      </w:r>
      <w:r w:rsidR="0028483A" w:rsidRPr="002B1378">
        <w:rPr>
          <w:rFonts w:ascii="Constantia" w:hAnsi="Constantia"/>
          <w:color w:val="000000" w:themeColor="text1"/>
          <w:sz w:val="24"/>
          <w:szCs w:val="24"/>
        </w:rPr>
        <w:t>. 1</w:t>
      </w:r>
      <w:r w:rsidR="00FC33E6" w:rsidRPr="002B1378">
        <w:rPr>
          <w:rFonts w:ascii="Constantia" w:hAnsi="Constantia"/>
          <w:color w:val="000000" w:themeColor="text1"/>
          <w:sz w:val="24"/>
          <w:szCs w:val="24"/>
        </w:rPr>
        <w:t xml:space="preserve"> and </w:t>
      </w:r>
      <w:r w:rsidR="0028483A" w:rsidRPr="002B1378">
        <w:rPr>
          <w:rFonts w:ascii="Constantia" w:hAnsi="Constantia"/>
          <w:color w:val="000000" w:themeColor="text1"/>
          <w:sz w:val="24"/>
          <w:szCs w:val="24"/>
        </w:rPr>
        <w:t>2</w:t>
      </w:r>
      <w:r w:rsidR="00FF3A07" w:rsidRPr="002B1378">
        <w:rPr>
          <w:rFonts w:ascii="Constantia" w:hAnsi="Constantia"/>
          <w:color w:val="000000" w:themeColor="text1"/>
          <w:sz w:val="24"/>
          <w:szCs w:val="24"/>
        </w:rPr>
        <w:t xml:space="preserve"> were argued separately</w:t>
      </w:r>
      <w:r w:rsidR="00FC33E6" w:rsidRPr="002B1378">
        <w:rPr>
          <w:rFonts w:ascii="Constantia" w:hAnsi="Constantia"/>
          <w:color w:val="000000" w:themeColor="text1"/>
          <w:sz w:val="24"/>
          <w:szCs w:val="24"/>
        </w:rPr>
        <w:t xml:space="preserve"> while Ground No. 3, 4, 5</w:t>
      </w:r>
      <w:r w:rsidR="000414EB" w:rsidRPr="002B1378">
        <w:rPr>
          <w:rFonts w:ascii="Constantia" w:hAnsi="Constantia"/>
          <w:color w:val="000000" w:themeColor="text1"/>
          <w:sz w:val="24"/>
          <w:szCs w:val="24"/>
        </w:rPr>
        <w:t>, 6, 8</w:t>
      </w:r>
      <w:r w:rsidR="00FC33E6" w:rsidRPr="002B1378">
        <w:rPr>
          <w:rFonts w:ascii="Constantia" w:hAnsi="Constantia"/>
          <w:color w:val="000000" w:themeColor="text1"/>
          <w:sz w:val="24"/>
          <w:szCs w:val="24"/>
        </w:rPr>
        <w:t xml:space="preserve"> and 9</w:t>
      </w:r>
      <w:r w:rsidR="0028483A" w:rsidRPr="002B1378">
        <w:rPr>
          <w:rFonts w:ascii="Constantia" w:hAnsi="Constantia"/>
          <w:color w:val="000000" w:themeColor="text1"/>
          <w:sz w:val="24"/>
          <w:szCs w:val="24"/>
        </w:rPr>
        <w:t xml:space="preserve"> were argued as one</w:t>
      </w:r>
      <w:r w:rsidR="00FF3A07" w:rsidRPr="002B1378">
        <w:rPr>
          <w:rFonts w:ascii="Constantia" w:hAnsi="Constantia"/>
          <w:color w:val="000000" w:themeColor="text1"/>
          <w:sz w:val="24"/>
          <w:szCs w:val="24"/>
        </w:rPr>
        <w:t xml:space="preserve"> and Ground</w:t>
      </w:r>
      <w:r w:rsidR="0028483A" w:rsidRPr="002B1378">
        <w:rPr>
          <w:rFonts w:ascii="Constantia" w:hAnsi="Constantia"/>
          <w:color w:val="000000" w:themeColor="text1"/>
          <w:sz w:val="24"/>
          <w:szCs w:val="24"/>
        </w:rPr>
        <w:t xml:space="preserve"> No. </w:t>
      </w:r>
      <w:r w:rsidR="00FF3A07" w:rsidRPr="002B1378">
        <w:rPr>
          <w:rFonts w:ascii="Constantia" w:hAnsi="Constantia"/>
          <w:color w:val="000000" w:themeColor="text1"/>
          <w:sz w:val="24"/>
          <w:szCs w:val="24"/>
        </w:rPr>
        <w:t>7 was</w:t>
      </w:r>
      <w:r w:rsidR="00FA3F3D" w:rsidRPr="002B1378">
        <w:rPr>
          <w:rFonts w:ascii="Constantia" w:hAnsi="Constantia"/>
          <w:color w:val="000000" w:themeColor="text1"/>
          <w:sz w:val="24"/>
          <w:szCs w:val="24"/>
        </w:rPr>
        <w:t xml:space="preserve"> argued alone</w:t>
      </w:r>
      <w:r w:rsidR="0028483A" w:rsidRPr="002B1378">
        <w:rPr>
          <w:rFonts w:ascii="Constantia" w:hAnsi="Constantia"/>
          <w:color w:val="000000" w:themeColor="text1"/>
          <w:sz w:val="24"/>
          <w:szCs w:val="24"/>
        </w:rPr>
        <w:t>.</w:t>
      </w:r>
    </w:p>
    <w:p w:rsidR="00AC108B" w:rsidRPr="002B1378" w:rsidRDefault="00AC108B" w:rsidP="00AC108B">
      <w:pPr>
        <w:spacing w:after="0" w:line="360" w:lineRule="auto"/>
        <w:jc w:val="both"/>
        <w:rPr>
          <w:rFonts w:ascii="Constantia" w:hAnsi="Constantia" w:cs="Tahoma"/>
          <w:sz w:val="24"/>
          <w:szCs w:val="24"/>
        </w:rPr>
      </w:pPr>
      <w:r w:rsidRPr="002B1378">
        <w:rPr>
          <w:rFonts w:ascii="Constantia" w:hAnsi="Constantia" w:cs="Tahoma"/>
          <w:sz w:val="24"/>
          <w:szCs w:val="24"/>
        </w:rPr>
        <w:t>It is the duty of this c</w:t>
      </w:r>
      <w:r w:rsidR="003B16DB" w:rsidRPr="002B1378">
        <w:rPr>
          <w:rFonts w:ascii="Constantia" w:hAnsi="Constantia" w:cs="Tahoma"/>
          <w:sz w:val="24"/>
          <w:szCs w:val="24"/>
        </w:rPr>
        <w:t>ourt as the first appellate court</w:t>
      </w:r>
      <w:r w:rsidRPr="002B1378">
        <w:rPr>
          <w:rFonts w:ascii="Constantia" w:hAnsi="Constantia" w:cs="Tahoma"/>
          <w:sz w:val="24"/>
          <w:szCs w:val="24"/>
        </w:rPr>
        <w:t xml:space="preserve"> to subject the evidence on record to</w:t>
      </w:r>
      <w:r w:rsidR="00AD3CB2" w:rsidRPr="002B1378">
        <w:rPr>
          <w:rFonts w:ascii="Constantia" w:hAnsi="Constantia" w:cs="Tahoma"/>
          <w:sz w:val="24"/>
          <w:szCs w:val="24"/>
        </w:rPr>
        <w:t xml:space="preserve"> a</w:t>
      </w:r>
      <w:r w:rsidRPr="002B1378">
        <w:rPr>
          <w:rFonts w:ascii="Constantia" w:hAnsi="Constantia" w:cs="Tahoma"/>
          <w:sz w:val="24"/>
          <w:szCs w:val="24"/>
        </w:rPr>
        <w:t xml:space="preserve"> fresh and exhaustive scrutin</w:t>
      </w:r>
      <w:r w:rsidR="00EF3A93" w:rsidRPr="002B1378">
        <w:rPr>
          <w:rFonts w:ascii="Constantia" w:hAnsi="Constantia" w:cs="Tahoma"/>
          <w:sz w:val="24"/>
          <w:szCs w:val="24"/>
        </w:rPr>
        <w:t xml:space="preserve">y.  In weighing the </w:t>
      </w:r>
      <w:r w:rsidRPr="002B1378">
        <w:rPr>
          <w:rFonts w:ascii="Constantia" w:hAnsi="Constantia" w:cs="Tahoma"/>
          <w:sz w:val="24"/>
          <w:szCs w:val="24"/>
        </w:rPr>
        <w:t>ev</w:t>
      </w:r>
      <w:r w:rsidR="00EF3A93" w:rsidRPr="002B1378">
        <w:rPr>
          <w:rFonts w:ascii="Constantia" w:hAnsi="Constantia" w:cs="Tahoma"/>
          <w:sz w:val="24"/>
          <w:szCs w:val="24"/>
        </w:rPr>
        <w:t>idence this court will draw</w:t>
      </w:r>
      <w:r w:rsidR="00AD3CB2" w:rsidRPr="002B1378">
        <w:rPr>
          <w:rFonts w:ascii="Constantia" w:hAnsi="Constantia" w:cs="Tahoma"/>
          <w:sz w:val="24"/>
          <w:szCs w:val="24"/>
        </w:rPr>
        <w:t xml:space="preserve"> inferences and come </w:t>
      </w:r>
      <w:r w:rsidR="00EF3A93" w:rsidRPr="002B1378">
        <w:rPr>
          <w:rFonts w:ascii="Constantia" w:hAnsi="Constantia" w:cs="Tahoma"/>
          <w:sz w:val="24"/>
          <w:szCs w:val="24"/>
        </w:rPr>
        <w:t>to its</w:t>
      </w:r>
      <w:r w:rsidR="004F0BF4" w:rsidRPr="002B1378">
        <w:rPr>
          <w:rFonts w:ascii="Constantia" w:hAnsi="Constantia" w:cs="Tahoma"/>
          <w:sz w:val="24"/>
          <w:szCs w:val="24"/>
        </w:rPr>
        <w:t xml:space="preserve"> </w:t>
      </w:r>
      <w:r w:rsidR="006563AB" w:rsidRPr="002B1378">
        <w:rPr>
          <w:rFonts w:ascii="Constantia" w:hAnsi="Constantia" w:cs="Tahoma"/>
          <w:sz w:val="24"/>
          <w:szCs w:val="24"/>
        </w:rPr>
        <w:t>own conclusions there</w:t>
      </w:r>
      <w:r w:rsidRPr="002B1378">
        <w:rPr>
          <w:rFonts w:ascii="Constantia" w:hAnsi="Constantia" w:cs="Tahoma"/>
          <w:sz w:val="24"/>
          <w:szCs w:val="24"/>
        </w:rPr>
        <w:t>from.  Having said tha</w:t>
      </w:r>
      <w:r w:rsidR="00305795" w:rsidRPr="002B1378">
        <w:rPr>
          <w:rFonts w:ascii="Constantia" w:hAnsi="Constantia" w:cs="Tahoma"/>
          <w:sz w:val="24"/>
          <w:szCs w:val="24"/>
        </w:rPr>
        <w:t xml:space="preserve">t, I am careful to note that I </w:t>
      </w:r>
      <w:r w:rsidRPr="002B1378">
        <w:rPr>
          <w:rFonts w:ascii="Constantia" w:hAnsi="Constantia" w:cs="Tahoma"/>
          <w:sz w:val="24"/>
          <w:szCs w:val="24"/>
        </w:rPr>
        <w:t xml:space="preserve">did not have the priviledge to hear and see the witnesses first hand. As such I am conscious of this fact. Reference is made to </w:t>
      </w:r>
      <w:r w:rsidRPr="002B1378">
        <w:rPr>
          <w:rFonts w:ascii="Constantia" w:hAnsi="Constantia" w:cs="Tahoma"/>
          <w:b/>
          <w:sz w:val="24"/>
          <w:szCs w:val="24"/>
          <w:u w:val="single"/>
        </w:rPr>
        <w:t>Pandya V.R. 1957 E.A. 336</w:t>
      </w:r>
      <w:r w:rsidRPr="002B1378">
        <w:rPr>
          <w:rFonts w:ascii="Constantia" w:hAnsi="Constantia" w:cs="Tahoma"/>
          <w:sz w:val="24"/>
          <w:szCs w:val="24"/>
        </w:rPr>
        <w:t xml:space="preserve">and to </w:t>
      </w:r>
      <w:r w:rsidRPr="002B1378">
        <w:rPr>
          <w:rFonts w:ascii="Constantia" w:hAnsi="Constantia" w:cs="Tahoma"/>
          <w:b/>
          <w:sz w:val="24"/>
          <w:szCs w:val="24"/>
          <w:u w:val="single"/>
        </w:rPr>
        <w:t>Kifamunte H  v Uganda Crim. Appeal No. 10/97.</w:t>
      </w:r>
    </w:p>
    <w:p w:rsidR="00DF3529" w:rsidRPr="002B1378" w:rsidRDefault="00DF3529">
      <w:pPr>
        <w:rPr>
          <w:rFonts w:ascii="Constantia" w:hAnsi="Constantia"/>
          <w:sz w:val="24"/>
          <w:szCs w:val="24"/>
        </w:rPr>
      </w:pPr>
    </w:p>
    <w:p w:rsidR="007C65C3" w:rsidRPr="002B1378" w:rsidRDefault="00B47501" w:rsidP="00A04B0F">
      <w:pPr>
        <w:jc w:val="both"/>
        <w:rPr>
          <w:rFonts w:ascii="Constantia" w:hAnsi="Constantia"/>
          <w:sz w:val="24"/>
          <w:szCs w:val="24"/>
        </w:rPr>
      </w:pPr>
      <w:r w:rsidRPr="002B1378">
        <w:rPr>
          <w:rFonts w:ascii="Constantia" w:hAnsi="Constantia"/>
          <w:sz w:val="24"/>
          <w:szCs w:val="24"/>
        </w:rPr>
        <w:t xml:space="preserve">In ground no.1 it is alleged that </w:t>
      </w:r>
      <w:r w:rsidR="00AC108B" w:rsidRPr="002B1378">
        <w:rPr>
          <w:rFonts w:ascii="Constantia" w:hAnsi="Constantia"/>
          <w:sz w:val="24"/>
          <w:szCs w:val="24"/>
        </w:rPr>
        <w:t>the Learned</w:t>
      </w:r>
      <w:r w:rsidR="006A1D7D" w:rsidRPr="002B1378">
        <w:rPr>
          <w:rFonts w:ascii="Constantia" w:hAnsi="Constantia"/>
          <w:sz w:val="24"/>
          <w:szCs w:val="24"/>
        </w:rPr>
        <w:t xml:space="preserve"> Trial Magistr</w:t>
      </w:r>
      <w:r w:rsidRPr="002B1378">
        <w:rPr>
          <w:rFonts w:ascii="Constantia" w:hAnsi="Constantia"/>
          <w:sz w:val="24"/>
          <w:szCs w:val="24"/>
        </w:rPr>
        <w:t xml:space="preserve">ate erred in law and in fact when she </w:t>
      </w:r>
      <w:r w:rsidR="001431B4" w:rsidRPr="002B1378">
        <w:rPr>
          <w:rFonts w:ascii="Constantia" w:hAnsi="Constantia"/>
          <w:sz w:val="24"/>
          <w:szCs w:val="24"/>
        </w:rPr>
        <w:t>considered money and facts</w:t>
      </w:r>
      <w:r w:rsidRPr="002B1378">
        <w:rPr>
          <w:rFonts w:ascii="Constantia" w:hAnsi="Constantia"/>
          <w:sz w:val="24"/>
          <w:szCs w:val="24"/>
        </w:rPr>
        <w:t xml:space="preserve"> outside the state period in the charge sheet. </w:t>
      </w:r>
      <w:r w:rsidR="001431B4" w:rsidRPr="002B1378">
        <w:rPr>
          <w:rFonts w:ascii="Constantia" w:hAnsi="Constantia"/>
          <w:sz w:val="24"/>
          <w:szCs w:val="24"/>
        </w:rPr>
        <w:t xml:space="preserve"> Here below is what the learned trial magistrate said,</w:t>
      </w:r>
    </w:p>
    <w:p w:rsidR="00AC108B" w:rsidRPr="002B1378" w:rsidRDefault="00FC4B20" w:rsidP="004806DA">
      <w:pPr>
        <w:spacing w:line="360" w:lineRule="auto"/>
        <w:ind w:left="2160"/>
        <w:jc w:val="both"/>
        <w:rPr>
          <w:rFonts w:ascii="Constantia" w:hAnsi="Constantia" w:cs="Tahoma"/>
          <w:sz w:val="24"/>
          <w:szCs w:val="24"/>
        </w:rPr>
      </w:pPr>
      <w:r w:rsidRPr="002B1378">
        <w:rPr>
          <w:rFonts w:ascii="Constantia" w:hAnsi="Constantia" w:cs="Tahoma"/>
          <w:sz w:val="24"/>
          <w:szCs w:val="24"/>
        </w:rPr>
        <w:t>“</w:t>
      </w:r>
      <w:r w:rsidR="007C65C3" w:rsidRPr="002B1378">
        <w:rPr>
          <w:rFonts w:ascii="Constantia" w:hAnsi="Constantia" w:cs="Tahoma"/>
          <w:sz w:val="24"/>
          <w:szCs w:val="24"/>
        </w:rPr>
        <w:t xml:space="preserve">However, I agree with the </w:t>
      </w:r>
      <w:r w:rsidR="004806DA" w:rsidRPr="002B1378">
        <w:rPr>
          <w:rFonts w:ascii="Constantia" w:hAnsi="Constantia" w:cs="Tahoma"/>
          <w:sz w:val="24"/>
          <w:szCs w:val="24"/>
        </w:rPr>
        <w:t>defence</w:t>
      </w:r>
      <w:r w:rsidR="007C65C3" w:rsidRPr="002B1378">
        <w:rPr>
          <w:rFonts w:ascii="Constantia" w:hAnsi="Constantia" w:cs="Tahoma"/>
          <w:sz w:val="24"/>
          <w:szCs w:val="24"/>
        </w:rPr>
        <w:t xml:space="preserve"> submission filed on 29/8/2011 at page 2 thereof that P.Exh</w:t>
      </w:r>
      <w:r w:rsidR="00412E42" w:rsidRPr="002B1378">
        <w:rPr>
          <w:rFonts w:ascii="Constantia" w:hAnsi="Constantia" w:cs="Tahoma"/>
          <w:sz w:val="24"/>
          <w:szCs w:val="24"/>
        </w:rPr>
        <w:t xml:space="preserve"> 1c) the release of UGX</w:t>
      </w:r>
      <w:r w:rsidR="007C65C3" w:rsidRPr="002B1378">
        <w:rPr>
          <w:rFonts w:ascii="Constantia" w:hAnsi="Constantia" w:cs="Tahoma"/>
          <w:sz w:val="24"/>
          <w:szCs w:val="24"/>
        </w:rPr>
        <w:t xml:space="preserve"> 11,072,200/= dated 29/03/2004, a</w:t>
      </w:r>
      <w:r w:rsidR="00412E42" w:rsidRPr="002B1378">
        <w:rPr>
          <w:rFonts w:ascii="Constantia" w:hAnsi="Constantia" w:cs="Tahoma"/>
          <w:sz w:val="24"/>
          <w:szCs w:val="24"/>
        </w:rPr>
        <w:t>nd P.Exh.1d) the release of UGX</w:t>
      </w:r>
      <w:r w:rsidR="007C65C3" w:rsidRPr="002B1378">
        <w:rPr>
          <w:rFonts w:ascii="Constantia" w:hAnsi="Constantia" w:cs="Tahoma"/>
          <w:sz w:val="24"/>
          <w:szCs w:val="24"/>
        </w:rPr>
        <w:t xml:space="preserve"> 6,833,400/= dated 30/6/2002, are outside the period indicated in the charge sheet on all counts, which ranges from 28/04/2003 to 26/03/2004.</w:t>
      </w:r>
      <w:r w:rsidR="00AC108B" w:rsidRPr="002B1378">
        <w:rPr>
          <w:rFonts w:ascii="Constantia" w:hAnsi="Constantia" w:cs="Tahoma"/>
          <w:sz w:val="24"/>
          <w:szCs w:val="24"/>
        </w:rPr>
        <w:t xml:space="preserve">Under S.88 (L) of the MCA Cap.16 in connection with sections 268 and 269 it is provided that “it shall be sufficient to specify the gross amount of the property in respect of </w:t>
      </w:r>
      <w:r w:rsidR="00412E42" w:rsidRPr="002B1378">
        <w:rPr>
          <w:rFonts w:ascii="Constantia" w:hAnsi="Constantia" w:cs="Tahoma"/>
          <w:sz w:val="24"/>
          <w:szCs w:val="24"/>
        </w:rPr>
        <w:t>which the</w:t>
      </w:r>
      <w:r w:rsidR="00AC108B" w:rsidRPr="002B1378">
        <w:rPr>
          <w:rFonts w:ascii="Constantia" w:hAnsi="Constantia" w:cs="Tahoma"/>
          <w:sz w:val="24"/>
          <w:szCs w:val="24"/>
        </w:rPr>
        <w:t xml:space="preserve"> offense is alleged to have been committed and the dates between which the offense is </w:t>
      </w:r>
      <w:r w:rsidR="007573D6" w:rsidRPr="002B1378">
        <w:rPr>
          <w:rFonts w:ascii="Constantia" w:hAnsi="Constantia" w:cs="Tahoma"/>
          <w:sz w:val="24"/>
          <w:szCs w:val="24"/>
        </w:rPr>
        <w:t>alleged to have been committed.</w:t>
      </w:r>
    </w:p>
    <w:p w:rsidR="007C65C3" w:rsidRPr="002B1378" w:rsidRDefault="00AC108B" w:rsidP="004806DA">
      <w:pPr>
        <w:spacing w:line="360" w:lineRule="auto"/>
        <w:ind w:left="2160"/>
        <w:jc w:val="both"/>
        <w:rPr>
          <w:rFonts w:ascii="Constantia" w:hAnsi="Constantia" w:cs="Tahoma"/>
          <w:sz w:val="24"/>
          <w:szCs w:val="24"/>
        </w:rPr>
      </w:pPr>
      <w:r w:rsidRPr="002B1378">
        <w:rPr>
          <w:rFonts w:ascii="Constantia" w:hAnsi="Constantia" w:cs="Tahoma"/>
          <w:sz w:val="24"/>
          <w:szCs w:val="24"/>
        </w:rPr>
        <w:t xml:space="preserve">In compliance with this provision, therefore prosecution is expected to confine its evidence to the specified amount and the range of dates indicated. Therefore in determining the amount of funds accused is supposed to have falsely accounted for, I will not consider the releases outside the charge sheet, because as submitted by the </w:t>
      </w:r>
      <w:r w:rsidR="00412E42" w:rsidRPr="002B1378">
        <w:rPr>
          <w:rFonts w:ascii="Constantia" w:hAnsi="Constantia" w:cs="Tahoma"/>
          <w:sz w:val="24"/>
          <w:szCs w:val="24"/>
        </w:rPr>
        <w:t>defence</w:t>
      </w:r>
      <w:r w:rsidRPr="002B1378">
        <w:rPr>
          <w:rFonts w:ascii="Constantia" w:hAnsi="Constantia" w:cs="Tahoma"/>
          <w:sz w:val="24"/>
          <w:szCs w:val="24"/>
        </w:rPr>
        <w:t xml:space="preserve"> counsel, prosecution has never bothered to amend the charge sheet to match with the evidence.</w:t>
      </w:r>
      <w:r w:rsidR="007573D6" w:rsidRPr="002B1378">
        <w:rPr>
          <w:rFonts w:ascii="Constantia" w:hAnsi="Constantia" w:cs="Tahoma"/>
          <w:sz w:val="24"/>
          <w:szCs w:val="24"/>
        </w:rPr>
        <w:t>”</w:t>
      </w:r>
    </w:p>
    <w:p w:rsidR="00AC108B" w:rsidRPr="002B1378" w:rsidRDefault="00DD3C2A" w:rsidP="00A04B0F">
      <w:pPr>
        <w:jc w:val="both"/>
        <w:rPr>
          <w:rFonts w:ascii="Constantia" w:hAnsi="Constantia"/>
          <w:sz w:val="24"/>
          <w:szCs w:val="24"/>
        </w:rPr>
      </w:pPr>
      <w:r w:rsidRPr="002B1378">
        <w:rPr>
          <w:rFonts w:ascii="Constantia" w:hAnsi="Constantia"/>
          <w:sz w:val="24"/>
          <w:szCs w:val="24"/>
        </w:rPr>
        <w:t>From the above excerpt the learned trial Magistrate considered both sides and took into consideration the defence submissions</w:t>
      </w:r>
      <w:r w:rsidR="00AC108B" w:rsidRPr="002B1378">
        <w:rPr>
          <w:rFonts w:ascii="Constantia" w:hAnsi="Constantia"/>
          <w:sz w:val="24"/>
          <w:szCs w:val="24"/>
        </w:rPr>
        <w:t xml:space="preserve"> regarding the times stated and clearly left out the contested period. For this reason I see no merit in this ground. It must fail.</w:t>
      </w:r>
    </w:p>
    <w:p w:rsidR="001431B4" w:rsidRPr="002B1378" w:rsidRDefault="0092578D" w:rsidP="00A04B0F">
      <w:pPr>
        <w:jc w:val="both"/>
        <w:rPr>
          <w:rFonts w:ascii="Constantia" w:hAnsi="Constantia"/>
          <w:sz w:val="24"/>
          <w:szCs w:val="24"/>
        </w:rPr>
      </w:pPr>
      <w:r w:rsidRPr="002B1378">
        <w:rPr>
          <w:rFonts w:ascii="Constantia" w:hAnsi="Constantia"/>
          <w:sz w:val="24"/>
          <w:szCs w:val="24"/>
        </w:rPr>
        <w:t>Regarding</w:t>
      </w:r>
      <w:r w:rsidR="001431B4" w:rsidRPr="002B1378">
        <w:rPr>
          <w:rFonts w:ascii="Constantia" w:hAnsi="Constantia"/>
          <w:sz w:val="24"/>
          <w:szCs w:val="24"/>
        </w:rPr>
        <w:t xml:space="preserve"> the second ground of appeal the learned trial magistrate is faulted for concluding that the District Chief Administrative Officer was required to submit accountability but not to account for the funds. I will once again reproduce what she said</w:t>
      </w:r>
      <w:r w:rsidR="009B0E79" w:rsidRPr="002B1378">
        <w:rPr>
          <w:rFonts w:ascii="Constantia" w:hAnsi="Constantia"/>
          <w:sz w:val="24"/>
          <w:szCs w:val="24"/>
        </w:rPr>
        <w:t>,thus;</w:t>
      </w:r>
    </w:p>
    <w:p w:rsidR="001431B4" w:rsidRPr="002B1378" w:rsidRDefault="001431B4" w:rsidP="001431B4">
      <w:pPr>
        <w:rPr>
          <w:sz w:val="24"/>
          <w:szCs w:val="24"/>
        </w:rPr>
      </w:pPr>
    </w:p>
    <w:p w:rsidR="001431B4" w:rsidRPr="002B1378" w:rsidRDefault="00412E42" w:rsidP="004806DA">
      <w:pPr>
        <w:spacing w:line="360" w:lineRule="auto"/>
        <w:ind w:left="2160"/>
        <w:jc w:val="both"/>
        <w:rPr>
          <w:rFonts w:ascii="Constantia" w:hAnsi="Constantia" w:cs="Tahoma"/>
          <w:sz w:val="24"/>
          <w:szCs w:val="24"/>
        </w:rPr>
      </w:pPr>
      <w:r w:rsidRPr="002B1378">
        <w:rPr>
          <w:rFonts w:ascii="Constantia" w:hAnsi="Constantia" w:cs="Tahoma"/>
          <w:sz w:val="24"/>
          <w:szCs w:val="24"/>
        </w:rPr>
        <w:t>“</w:t>
      </w:r>
      <w:r w:rsidR="001431B4" w:rsidRPr="002B1378">
        <w:rPr>
          <w:rFonts w:ascii="Constantia" w:hAnsi="Constantia" w:cs="Tahoma"/>
          <w:sz w:val="24"/>
          <w:szCs w:val="24"/>
        </w:rPr>
        <w:t>So even PW4, who sent the funds expected the District Planner, the accused to account and not the CAO.”Having established that it was the accused’s responsibility to account for the funds for which he was the requisitioner and implementer. I have to find out whether he knowingly furnished false accountabilities.</w:t>
      </w:r>
      <w:r w:rsidRPr="002B1378">
        <w:rPr>
          <w:rFonts w:ascii="Constantia" w:hAnsi="Constantia" w:cs="Tahoma"/>
          <w:sz w:val="24"/>
          <w:szCs w:val="24"/>
        </w:rPr>
        <w:t>”</w:t>
      </w:r>
    </w:p>
    <w:p w:rsidR="001431B4" w:rsidRPr="002B1378" w:rsidRDefault="001431B4">
      <w:pPr>
        <w:rPr>
          <w:rFonts w:ascii="Constantia" w:hAnsi="Constantia"/>
          <w:sz w:val="24"/>
          <w:szCs w:val="24"/>
        </w:rPr>
      </w:pPr>
    </w:p>
    <w:p w:rsidR="007C65C3" w:rsidRPr="002B1378" w:rsidRDefault="009C49D5" w:rsidP="00A04B0F">
      <w:pPr>
        <w:jc w:val="both"/>
        <w:rPr>
          <w:rFonts w:ascii="Constantia" w:hAnsi="Constantia"/>
          <w:sz w:val="24"/>
          <w:szCs w:val="24"/>
        </w:rPr>
      </w:pPr>
      <w:r w:rsidRPr="002B1378">
        <w:rPr>
          <w:rFonts w:ascii="Constantia" w:hAnsi="Constantia"/>
          <w:sz w:val="24"/>
          <w:szCs w:val="24"/>
        </w:rPr>
        <w:t xml:space="preserve">Although the CAO was the overall accounting officer, the accused did indeed receive the money from the CAO and it was the appellant who expended the money. </w:t>
      </w:r>
      <w:r w:rsidR="001431B4" w:rsidRPr="002B1378">
        <w:rPr>
          <w:rFonts w:ascii="Constantia" w:hAnsi="Constantia"/>
          <w:sz w:val="24"/>
          <w:szCs w:val="24"/>
        </w:rPr>
        <w:t>The learned trial magistrate had t</w:t>
      </w:r>
      <w:r w:rsidRPr="002B1378">
        <w:rPr>
          <w:rFonts w:ascii="Constantia" w:hAnsi="Constantia"/>
          <w:sz w:val="24"/>
          <w:szCs w:val="24"/>
        </w:rPr>
        <w:t>he opportunity to see the witnes</w:t>
      </w:r>
      <w:r w:rsidR="001431B4" w:rsidRPr="002B1378">
        <w:rPr>
          <w:rFonts w:ascii="Constantia" w:hAnsi="Constantia"/>
          <w:sz w:val="24"/>
          <w:szCs w:val="24"/>
        </w:rPr>
        <w:t>ses firsthand and was able to conclude that the CAO was not directly responsible for the money in question. The learned trial Magistrate, quite rightly in my view, chose to believe prosecution witnesses No. 2 and No. 4. Once again this ground of appeal must fail.</w:t>
      </w:r>
    </w:p>
    <w:p w:rsidR="004316E0" w:rsidRPr="002B1378" w:rsidRDefault="002A5018" w:rsidP="00A04B0F">
      <w:pPr>
        <w:jc w:val="both"/>
        <w:rPr>
          <w:rFonts w:ascii="Constantia" w:hAnsi="Constantia"/>
          <w:sz w:val="24"/>
          <w:szCs w:val="24"/>
        </w:rPr>
      </w:pPr>
      <w:r w:rsidRPr="002B1378">
        <w:rPr>
          <w:rFonts w:ascii="Constantia" w:hAnsi="Constantia"/>
          <w:sz w:val="24"/>
          <w:szCs w:val="24"/>
        </w:rPr>
        <w:t xml:space="preserve">Grounds number </w:t>
      </w:r>
      <w:r w:rsidR="00FC33E6" w:rsidRPr="002B1378">
        <w:rPr>
          <w:rFonts w:ascii="Constantia" w:hAnsi="Constantia"/>
          <w:sz w:val="24"/>
          <w:szCs w:val="24"/>
        </w:rPr>
        <w:t xml:space="preserve">3, 4, 5, </w:t>
      </w:r>
      <w:r w:rsidRPr="002B1378">
        <w:rPr>
          <w:rFonts w:ascii="Constantia" w:hAnsi="Constantia"/>
          <w:sz w:val="24"/>
          <w:szCs w:val="24"/>
        </w:rPr>
        <w:t>6</w:t>
      </w:r>
      <w:r w:rsidR="00FC33E6" w:rsidRPr="002B1378">
        <w:rPr>
          <w:rFonts w:ascii="Constantia" w:hAnsi="Constantia"/>
          <w:sz w:val="24"/>
          <w:szCs w:val="24"/>
        </w:rPr>
        <w:t>, 8 and 9</w:t>
      </w:r>
      <w:r w:rsidR="004316E0" w:rsidRPr="002B1378">
        <w:rPr>
          <w:rFonts w:ascii="Constantia" w:hAnsi="Constantia"/>
          <w:sz w:val="24"/>
          <w:szCs w:val="24"/>
        </w:rPr>
        <w:t xml:space="preserve"> in my view </w:t>
      </w:r>
      <w:r w:rsidR="00FF3A07" w:rsidRPr="002B1378">
        <w:rPr>
          <w:rFonts w:ascii="Constantia" w:hAnsi="Constantia"/>
          <w:sz w:val="24"/>
          <w:szCs w:val="24"/>
        </w:rPr>
        <w:t xml:space="preserve">can be merged into one and stated as follows: </w:t>
      </w:r>
      <w:r w:rsidR="004316E0" w:rsidRPr="002B1378">
        <w:rPr>
          <w:rFonts w:ascii="Constantia" w:hAnsi="Constantia"/>
          <w:sz w:val="24"/>
          <w:szCs w:val="24"/>
        </w:rPr>
        <w:t>whether the learned trial magistrate properly evaluated the evidence on record</w:t>
      </w:r>
      <w:r w:rsidR="001A7407" w:rsidRPr="002B1378">
        <w:rPr>
          <w:rFonts w:ascii="Constantia" w:hAnsi="Constantia"/>
          <w:sz w:val="24"/>
          <w:szCs w:val="24"/>
        </w:rPr>
        <w:t>. I have given very careful consideration to the submissions of learned counselregarding the four grounds and have scrutinised the evidence on record. Without goi</w:t>
      </w:r>
      <w:r w:rsidR="00FF3A07" w:rsidRPr="002B1378">
        <w:rPr>
          <w:rFonts w:ascii="Constantia" w:hAnsi="Constantia"/>
          <w:sz w:val="24"/>
          <w:szCs w:val="24"/>
        </w:rPr>
        <w:t>ng into much detail here, I note</w:t>
      </w:r>
      <w:r w:rsidR="001A7407" w:rsidRPr="002B1378">
        <w:rPr>
          <w:rFonts w:ascii="Constantia" w:hAnsi="Constantia"/>
          <w:sz w:val="24"/>
          <w:szCs w:val="24"/>
        </w:rPr>
        <w:t xml:space="preserve"> that the discretion lay with the magistrate whether to believe the prosecution or the defence.</w:t>
      </w:r>
      <w:r w:rsidR="00FF3A07" w:rsidRPr="002B1378">
        <w:rPr>
          <w:rFonts w:ascii="Constantia" w:hAnsi="Constantia"/>
          <w:sz w:val="24"/>
          <w:szCs w:val="24"/>
        </w:rPr>
        <w:t xml:space="preserve"> Since the Learned Trial Magistrate had the opportunity to assess the demeanour of the witnesses and to hear them out first hand.</w:t>
      </w:r>
      <w:r w:rsidR="001A7407" w:rsidRPr="002B1378">
        <w:rPr>
          <w:rFonts w:ascii="Constantia" w:hAnsi="Constantia"/>
          <w:sz w:val="24"/>
          <w:szCs w:val="24"/>
        </w:rPr>
        <w:t xml:space="preserve"> The learned trial magistrate believed the prosecution and quite rightly so in my view. </w:t>
      </w:r>
      <w:r w:rsidR="00CA3146" w:rsidRPr="002B1378">
        <w:rPr>
          <w:rFonts w:ascii="Constantia" w:hAnsi="Constantia"/>
          <w:sz w:val="24"/>
          <w:szCs w:val="24"/>
        </w:rPr>
        <w:t xml:space="preserve">An issue which emerged was whether PW11 was an agent. </w:t>
      </w:r>
      <w:r w:rsidR="001A7407" w:rsidRPr="002B1378">
        <w:rPr>
          <w:rFonts w:ascii="Constantia" w:hAnsi="Constantia"/>
          <w:sz w:val="24"/>
          <w:szCs w:val="24"/>
        </w:rPr>
        <w:t>The question of an agent is a question of fact.PW11’s condu</w:t>
      </w:r>
      <w:r w:rsidRPr="002B1378">
        <w:rPr>
          <w:rFonts w:ascii="Constantia" w:hAnsi="Constantia"/>
          <w:sz w:val="24"/>
          <w:szCs w:val="24"/>
        </w:rPr>
        <w:t>ct was clearly that of an agent;</w:t>
      </w:r>
      <w:r w:rsidR="001A7407" w:rsidRPr="002B1378">
        <w:rPr>
          <w:rFonts w:ascii="Constantia" w:hAnsi="Constantia"/>
          <w:sz w:val="24"/>
          <w:szCs w:val="24"/>
        </w:rPr>
        <w:t xml:space="preserve"> someone who acts on</w:t>
      </w:r>
      <w:r w:rsidRPr="002B1378">
        <w:rPr>
          <w:rFonts w:ascii="Constantia" w:hAnsi="Constantia"/>
          <w:sz w:val="24"/>
          <w:szCs w:val="24"/>
        </w:rPr>
        <w:t xml:space="preserve"> behalf of another. </w:t>
      </w:r>
      <w:r w:rsidR="002A17B4" w:rsidRPr="002B1378">
        <w:rPr>
          <w:rFonts w:ascii="Constantia" w:hAnsi="Constantia"/>
          <w:sz w:val="24"/>
          <w:szCs w:val="24"/>
        </w:rPr>
        <w:t>This was the finding of the learned trial magistrate, as a person who had an opportunity to see these witnesses first hand. The</w:t>
      </w:r>
      <w:r w:rsidR="00CA3146" w:rsidRPr="002B1378">
        <w:rPr>
          <w:rFonts w:ascii="Constantia" w:hAnsi="Constantia"/>
          <w:sz w:val="24"/>
          <w:szCs w:val="24"/>
        </w:rPr>
        <w:t xml:space="preserve"> principle of agency is very simple. I find that a person who acts on behalf of another can be rightly referred to as an agent.  I find that</w:t>
      </w:r>
      <w:r w:rsidR="001A7407" w:rsidRPr="002B1378">
        <w:rPr>
          <w:rFonts w:ascii="Constantia" w:hAnsi="Constantia"/>
          <w:sz w:val="24"/>
          <w:szCs w:val="24"/>
        </w:rPr>
        <w:t xml:space="preserve"> the learned</w:t>
      </w:r>
      <w:r w:rsidR="002A17B4" w:rsidRPr="002B1378">
        <w:rPr>
          <w:rFonts w:ascii="Constantia" w:hAnsi="Constantia"/>
          <w:sz w:val="24"/>
          <w:szCs w:val="24"/>
        </w:rPr>
        <w:t xml:space="preserve"> trial magistrate considered this</w:t>
      </w:r>
      <w:r w:rsidR="001A7407" w:rsidRPr="002B1378">
        <w:rPr>
          <w:rFonts w:ascii="Constantia" w:hAnsi="Constantia"/>
          <w:sz w:val="24"/>
          <w:szCs w:val="24"/>
        </w:rPr>
        <w:t xml:space="preserve"> evidence as a whole. The grounds must fail.</w:t>
      </w:r>
    </w:p>
    <w:p w:rsidR="009C49D5" w:rsidRPr="002B1378" w:rsidRDefault="00D054E1" w:rsidP="00A04B0F">
      <w:pPr>
        <w:jc w:val="both"/>
        <w:rPr>
          <w:rFonts w:ascii="Constantia" w:hAnsi="Constantia"/>
          <w:sz w:val="24"/>
          <w:szCs w:val="24"/>
        </w:rPr>
      </w:pPr>
      <w:bookmarkStart w:id="0" w:name="_GoBack"/>
      <w:bookmarkEnd w:id="0"/>
      <w:r w:rsidRPr="002B1378">
        <w:rPr>
          <w:rFonts w:ascii="Constantia" w:hAnsi="Constantia"/>
          <w:sz w:val="24"/>
          <w:szCs w:val="24"/>
        </w:rPr>
        <w:t xml:space="preserve">In Ground </w:t>
      </w:r>
      <w:r w:rsidR="002A5018" w:rsidRPr="002B1378">
        <w:rPr>
          <w:rFonts w:ascii="Constantia" w:hAnsi="Constantia"/>
          <w:sz w:val="24"/>
          <w:szCs w:val="24"/>
        </w:rPr>
        <w:t>no.7 of</w:t>
      </w:r>
      <w:r w:rsidR="00CA3146" w:rsidRPr="002B1378">
        <w:rPr>
          <w:rFonts w:ascii="Constantia" w:hAnsi="Constantia"/>
          <w:sz w:val="24"/>
          <w:szCs w:val="24"/>
        </w:rPr>
        <w:t xml:space="preserve"> the appeal the issue wa</w:t>
      </w:r>
      <w:r w:rsidRPr="002B1378">
        <w:rPr>
          <w:rFonts w:ascii="Constantia" w:hAnsi="Constantia"/>
          <w:sz w:val="24"/>
          <w:szCs w:val="24"/>
        </w:rPr>
        <w:t xml:space="preserve">s </w:t>
      </w:r>
      <w:r w:rsidR="002A5018" w:rsidRPr="002B1378">
        <w:rPr>
          <w:rFonts w:ascii="Constantia" w:hAnsi="Constantia"/>
          <w:sz w:val="24"/>
          <w:szCs w:val="24"/>
        </w:rPr>
        <w:t>whether learned</w:t>
      </w:r>
      <w:r w:rsidRPr="002B1378">
        <w:rPr>
          <w:rFonts w:ascii="Constantia" w:hAnsi="Constantia"/>
          <w:sz w:val="24"/>
          <w:szCs w:val="24"/>
        </w:rPr>
        <w:t xml:space="preserve"> trial magistrate erred in law and in fact when she calculated the alleged embezzled funds and arrived at 12,339,000 allegedly without facts on court rec</w:t>
      </w:r>
      <w:r w:rsidR="00CA3146" w:rsidRPr="002B1378">
        <w:rPr>
          <w:rFonts w:ascii="Constantia" w:hAnsi="Constantia"/>
          <w:sz w:val="24"/>
          <w:szCs w:val="24"/>
        </w:rPr>
        <w:t>ord?  I will once again carefully</w:t>
      </w:r>
      <w:r w:rsidRPr="002B1378">
        <w:rPr>
          <w:rFonts w:ascii="Constantia" w:hAnsi="Constantia"/>
          <w:sz w:val="24"/>
          <w:szCs w:val="24"/>
        </w:rPr>
        <w:t xml:space="preserve"> examine and trail the reasoning behind this decision by first looking at the proceedings. </w:t>
      </w:r>
      <w:r w:rsidR="00370FAF" w:rsidRPr="002B1378">
        <w:rPr>
          <w:rFonts w:ascii="Constantia" w:hAnsi="Constantia"/>
          <w:sz w:val="24"/>
          <w:szCs w:val="24"/>
        </w:rPr>
        <w:t xml:space="preserve">This is what the learned trial magistrate had to say about the accountability; </w:t>
      </w:r>
    </w:p>
    <w:p w:rsidR="009C49D5" w:rsidRPr="002B1378" w:rsidRDefault="00F2057F" w:rsidP="00FC18E1">
      <w:pPr>
        <w:spacing w:line="360" w:lineRule="auto"/>
        <w:ind w:left="2160"/>
        <w:jc w:val="both"/>
        <w:rPr>
          <w:rFonts w:ascii="Constantia" w:hAnsi="Constantia" w:cs="Tahoma"/>
          <w:sz w:val="24"/>
          <w:szCs w:val="24"/>
        </w:rPr>
      </w:pPr>
      <w:r w:rsidRPr="002B1378">
        <w:rPr>
          <w:rFonts w:ascii="Constantia" w:hAnsi="Constantia" w:cs="Tahoma"/>
          <w:sz w:val="24"/>
          <w:szCs w:val="24"/>
        </w:rPr>
        <w:t>“</w:t>
      </w:r>
      <w:r w:rsidR="009C49D5" w:rsidRPr="002B1378">
        <w:rPr>
          <w:rFonts w:ascii="Constantia" w:hAnsi="Constantia" w:cs="Tahoma"/>
          <w:sz w:val="24"/>
          <w:szCs w:val="24"/>
        </w:rPr>
        <w:t xml:space="preserve">This means considering </w:t>
      </w:r>
      <w:r w:rsidR="00D054E1" w:rsidRPr="002B1378">
        <w:rPr>
          <w:rFonts w:ascii="Constantia" w:hAnsi="Constantia" w:cs="Tahoma"/>
          <w:sz w:val="24"/>
          <w:szCs w:val="24"/>
        </w:rPr>
        <w:t>P.Exh.1 (</w:t>
      </w:r>
      <w:r w:rsidR="00370FAF" w:rsidRPr="002B1378">
        <w:rPr>
          <w:rFonts w:ascii="Constantia" w:hAnsi="Constantia" w:cs="Tahoma"/>
          <w:sz w:val="24"/>
          <w:szCs w:val="24"/>
        </w:rPr>
        <w:t xml:space="preserve">a) and (b) the releases of UGX 43, 255,280/= and UGX </w:t>
      </w:r>
      <w:r w:rsidR="009C49D5" w:rsidRPr="002B1378">
        <w:rPr>
          <w:rFonts w:ascii="Constantia" w:hAnsi="Constantia" w:cs="Tahoma"/>
          <w:sz w:val="24"/>
          <w:szCs w:val="24"/>
        </w:rPr>
        <w:t>30,772,40</w:t>
      </w:r>
      <w:r w:rsidR="00015F82" w:rsidRPr="002B1378">
        <w:rPr>
          <w:rFonts w:ascii="Constantia" w:hAnsi="Constantia" w:cs="Tahoma"/>
          <w:sz w:val="24"/>
          <w:szCs w:val="24"/>
        </w:rPr>
        <w:t>0/=. The accountability for UGX</w:t>
      </w:r>
      <w:r w:rsidR="009C49D5" w:rsidRPr="002B1378">
        <w:rPr>
          <w:rFonts w:ascii="Constantia" w:hAnsi="Constantia" w:cs="Tahoma"/>
          <w:sz w:val="24"/>
          <w:szCs w:val="24"/>
        </w:rPr>
        <w:t xml:space="preserve"> 43,255,280/= is contained in P.Exh.4 w</w:t>
      </w:r>
      <w:r w:rsidR="00015F82" w:rsidRPr="002B1378">
        <w:rPr>
          <w:rFonts w:ascii="Constantia" w:hAnsi="Constantia" w:cs="Tahoma"/>
          <w:sz w:val="24"/>
          <w:szCs w:val="24"/>
        </w:rPr>
        <w:t xml:space="preserve">hile the accountability per UGX </w:t>
      </w:r>
      <w:r w:rsidR="009C49D5" w:rsidRPr="002B1378">
        <w:rPr>
          <w:rFonts w:ascii="Constantia" w:hAnsi="Constantia" w:cs="Tahoma"/>
          <w:sz w:val="24"/>
          <w:szCs w:val="24"/>
        </w:rPr>
        <w:t>30, 722,400/= is contained in P.Exh.5. The relevant pages in P.Exh.4 are 95-116 and pages 54 and 58 of the proceedings where the testimony of PW5, the I/O explains the figures. According to the testimony of PW5 and P.Exh.4, pages 95-116 highlighted in red, 212 village community facilitators attended a training workshop and each one was supposed</w:t>
      </w:r>
      <w:r w:rsidR="00015F82" w:rsidRPr="002B1378">
        <w:rPr>
          <w:rFonts w:ascii="Constantia" w:hAnsi="Constantia" w:cs="Tahoma"/>
          <w:sz w:val="24"/>
          <w:szCs w:val="24"/>
        </w:rPr>
        <w:t xml:space="preserve"> to be paid UGX </w:t>
      </w:r>
      <w:r w:rsidR="009C49D5" w:rsidRPr="002B1378">
        <w:rPr>
          <w:rFonts w:ascii="Constantia" w:hAnsi="Constantia" w:cs="Tahoma"/>
          <w:sz w:val="24"/>
          <w:szCs w:val="24"/>
        </w:rPr>
        <w:t xml:space="preserve">3000/= daily for two weeks. So for one week it was 212x21.000 </w:t>
      </w:r>
      <w:r w:rsidR="00015F82" w:rsidRPr="002B1378">
        <w:rPr>
          <w:rFonts w:ascii="Constantia" w:hAnsi="Constantia" w:cs="Tahoma"/>
          <w:sz w:val="24"/>
          <w:szCs w:val="24"/>
        </w:rPr>
        <w:t>totalling</w:t>
      </w:r>
      <w:r w:rsidR="009C49D5" w:rsidRPr="002B1378">
        <w:rPr>
          <w:rFonts w:ascii="Constantia" w:hAnsi="Constantia" w:cs="Tahoma"/>
          <w:sz w:val="24"/>
          <w:szCs w:val="24"/>
        </w:rPr>
        <w:t xml:space="preserve"> to </w:t>
      </w:r>
      <w:r w:rsidR="00015F82" w:rsidRPr="002B1378">
        <w:rPr>
          <w:rFonts w:ascii="Constantia" w:hAnsi="Constantia" w:cs="Tahoma"/>
          <w:sz w:val="24"/>
          <w:szCs w:val="24"/>
        </w:rPr>
        <w:t xml:space="preserve">UGX </w:t>
      </w:r>
      <w:r w:rsidR="009C49D5" w:rsidRPr="002B1378">
        <w:rPr>
          <w:rFonts w:ascii="Constantia" w:hAnsi="Constantia" w:cs="Tahoma"/>
          <w:sz w:val="24"/>
          <w:szCs w:val="24"/>
        </w:rPr>
        <w:t xml:space="preserve">4,452,000/= and for two weeks it totals to </w:t>
      </w:r>
      <w:r w:rsidR="00015F82" w:rsidRPr="002B1378">
        <w:rPr>
          <w:rFonts w:ascii="Constantia" w:hAnsi="Constantia" w:cs="Tahoma"/>
          <w:sz w:val="24"/>
          <w:szCs w:val="24"/>
        </w:rPr>
        <w:t xml:space="preserve">UGX </w:t>
      </w:r>
      <w:r w:rsidR="009C49D5" w:rsidRPr="002B1378">
        <w:rPr>
          <w:rFonts w:ascii="Constantia" w:hAnsi="Constantia" w:cs="Tahoma"/>
          <w:sz w:val="24"/>
          <w:szCs w:val="24"/>
        </w:rPr>
        <w:t>8,904,000/=. However PW5 testified that when the 212 participants were interviewed, they said that they never received the alleged money.</w:t>
      </w:r>
      <w:r w:rsidRPr="002B1378">
        <w:rPr>
          <w:rFonts w:ascii="Constantia" w:hAnsi="Constantia" w:cs="Tahoma"/>
          <w:sz w:val="24"/>
          <w:szCs w:val="24"/>
        </w:rPr>
        <w:t>”</w:t>
      </w:r>
    </w:p>
    <w:p w:rsidR="00FC18E1" w:rsidRPr="002B1378" w:rsidRDefault="00FC18E1" w:rsidP="00FC18E1">
      <w:pPr>
        <w:spacing w:line="360" w:lineRule="auto"/>
        <w:ind w:left="720"/>
        <w:jc w:val="both"/>
        <w:rPr>
          <w:rFonts w:ascii="Constantia" w:hAnsi="Constantia" w:cs="Tahoma"/>
          <w:sz w:val="24"/>
          <w:szCs w:val="24"/>
        </w:rPr>
      </w:pPr>
      <w:r w:rsidRPr="002B1378">
        <w:rPr>
          <w:rFonts w:ascii="Constantia" w:hAnsi="Constantia" w:cs="Tahoma"/>
          <w:sz w:val="24"/>
          <w:szCs w:val="24"/>
        </w:rPr>
        <w:t>The learned Trial Magistrate depended on the evidence of the I.O, PW5 regarding the actual amounts paid to the 212 partici</w:t>
      </w:r>
      <w:r w:rsidR="00CA3146" w:rsidRPr="002B1378">
        <w:rPr>
          <w:rFonts w:ascii="Constantia" w:hAnsi="Constantia" w:cs="Tahoma"/>
          <w:sz w:val="24"/>
          <w:szCs w:val="24"/>
        </w:rPr>
        <w:t>pants. The I.O apparently interview</w:t>
      </w:r>
      <w:r w:rsidRPr="002B1378">
        <w:rPr>
          <w:rFonts w:ascii="Constantia" w:hAnsi="Constantia" w:cs="Tahoma"/>
          <w:sz w:val="24"/>
          <w:szCs w:val="24"/>
        </w:rPr>
        <w:t>ed the participants</w:t>
      </w:r>
      <w:r w:rsidR="005C45AF" w:rsidRPr="002B1378">
        <w:rPr>
          <w:rFonts w:ascii="Constantia" w:hAnsi="Constantia" w:cs="Tahoma"/>
          <w:sz w:val="24"/>
          <w:szCs w:val="24"/>
        </w:rPr>
        <w:t>, collected their specimen handwritings for expert analysis</w:t>
      </w:r>
      <w:r w:rsidRPr="002B1378">
        <w:rPr>
          <w:rFonts w:ascii="Constantia" w:hAnsi="Constantia" w:cs="Tahoma"/>
          <w:sz w:val="24"/>
          <w:szCs w:val="24"/>
        </w:rPr>
        <w:t xml:space="preserve"> and testified regarding his findings. I</w:t>
      </w:r>
      <w:r w:rsidR="00CA3146" w:rsidRPr="002B1378">
        <w:rPr>
          <w:rFonts w:ascii="Constantia" w:hAnsi="Constantia" w:cs="Tahoma"/>
          <w:sz w:val="24"/>
          <w:szCs w:val="24"/>
        </w:rPr>
        <w:t xml:space="preserve"> would have appreciated, </w:t>
      </w:r>
      <w:r w:rsidRPr="002B1378">
        <w:rPr>
          <w:rFonts w:ascii="Constantia" w:hAnsi="Constantia" w:cs="Tahoma"/>
          <w:sz w:val="24"/>
          <w:szCs w:val="24"/>
        </w:rPr>
        <w:t>as a result of such exam</w:t>
      </w:r>
      <w:r w:rsidR="00CA3146" w:rsidRPr="002B1378">
        <w:rPr>
          <w:rFonts w:ascii="Constantia" w:hAnsi="Constantia" w:cs="Tahoma"/>
          <w:sz w:val="24"/>
          <w:szCs w:val="24"/>
        </w:rPr>
        <w:t>ination, that</w:t>
      </w:r>
      <w:r w:rsidR="00D00641" w:rsidRPr="002B1378">
        <w:rPr>
          <w:rFonts w:ascii="Constantia" w:hAnsi="Constantia" w:cs="Tahoma"/>
          <w:sz w:val="24"/>
          <w:szCs w:val="24"/>
        </w:rPr>
        <w:t xml:space="preserve"> detailed report of such findings was made out</w:t>
      </w:r>
      <w:r w:rsidR="00CA3146" w:rsidRPr="002B1378">
        <w:rPr>
          <w:rFonts w:ascii="Constantia" w:hAnsi="Constantia" w:cs="Tahoma"/>
          <w:sz w:val="24"/>
          <w:szCs w:val="24"/>
        </w:rPr>
        <w:t xml:space="preserve"> including the content of the interviews</w:t>
      </w:r>
      <w:r w:rsidR="00D00641" w:rsidRPr="002B1378">
        <w:rPr>
          <w:rFonts w:ascii="Constantia" w:hAnsi="Constantia" w:cs="Tahoma"/>
          <w:sz w:val="24"/>
          <w:szCs w:val="24"/>
        </w:rPr>
        <w:t xml:space="preserve">. Nonetheless, </w:t>
      </w:r>
      <w:r w:rsidR="005C45AF" w:rsidRPr="002B1378">
        <w:rPr>
          <w:rFonts w:ascii="Constantia" w:hAnsi="Constantia" w:cs="Tahoma"/>
          <w:sz w:val="24"/>
          <w:szCs w:val="24"/>
        </w:rPr>
        <w:t>PW5, the I.O</w:t>
      </w:r>
      <w:r w:rsidR="00D00641" w:rsidRPr="002B1378">
        <w:rPr>
          <w:rFonts w:ascii="Constantia" w:hAnsi="Constantia" w:cs="Tahoma"/>
          <w:sz w:val="24"/>
          <w:szCs w:val="24"/>
        </w:rPr>
        <w:t xml:space="preserve"> was available for cross-examination and apparently</w:t>
      </w:r>
      <w:r w:rsidR="00CA3146" w:rsidRPr="002B1378">
        <w:rPr>
          <w:rFonts w:ascii="Constantia" w:hAnsi="Constantia" w:cs="Tahoma"/>
          <w:sz w:val="24"/>
          <w:szCs w:val="24"/>
        </w:rPr>
        <w:t xml:space="preserve"> his evidence appeared unchalleng</w:t>
      </w:r>
      <w:r w:rsidR="00D00641" w:rsidRPr="002B1378">
        <w:rPr>
          <w:rFonts w:ascii="Constantia" w:hAnsi="Constantia" w:cs="Tahoma"/>
          <w:sz w:val="24"/>
          <w:szCs w:val="24"/>
        </w:rPr>
        <w:t>ed.  Further still the learned trial magistrate relied on the findings of the handwriting analyst to reach her decision as seen below:</w:t>
      </w:r>
    </w:p>
    <w:p w:rsidR="009C49D5" w:rsidRPr="002B1378" w:rsidRDefault="00E75FA6" w:rsidP="00FC18E1">
      <w:pPr>
        <w:spacing w:line="360" w:lineRule="auto"/>
        <w:ind w:left="2160"/>
        <w:jc w:val="both"/>
        <w:rPr>
          <w:rFonts w:ascii="Constantia" w:hAnsi="Constantia" w:cs="Tahoma"/>
          <w:sz w:val="24"/>
          <w:szCs w:val="24"/>
        </w:rPr>
      </w:pPr>
      <w:r w:rsidRPr="002B1378">
        <w:rPr>
          <w:rFonts w:ascii="Constantia" w:hAnsi="Constantia" w:cs="Tahoma"/>
          <w:sz w:val="24"/>
          <w:szCs w:val="24"/>
        </w:rPr>
        <w:t>“</w:t>
      </w:r>
      <w:r w:rsidR="009C49D5" w:rsidRPr="002B1378">
        <w:rPr>
          <w:rFonts w:ascii="Constantia" w:hAnsi="Constantia" w:cs="Tahoma"/>
          <w:sz w:val="24"/>
          <w:szCs w:val="24"/>
        </w:rPr>
        <w:t>However according to P.Exh.10 the handwriting expert’s report PW20, Mr. Ezati Samuel, the handwriting expert found that some participants signed for the 21,000/=when he compared their signatures on P.Exh.4 with their sample signatures, EXH 1-9, 11,14,15,23. Then for the authors of specimen signatures EXH 27 and 47, PW20 found that their specimen signatures were incomparable with the alleged signatures on P.Exh.4 and he did not make a fi</w:t>
      </w:r>
      <w:r w:rsidR="00015F82" w:rsidRPr="002B1378">
        <w:rPr>
          <w:rFonts w:ascii="Constantia" w:hAnsi="Constantia" w:cs="Tahoma"/>
          <w:sz w:val="24"/>
          <w:szCs w:val="24"/>
        </w:rPr>
        <w:t>nding on them. The total is UGX</w:t>
      </w:r>
      <w:r w:rsidR="009C49D5" w:rsidRPr="002B1378">
        <w:rPr>
          <w:rFonts w:ascii="Constantia" w:hAnsi="Constantia" w:cs="Tahoma"/>
          <w:sz w:val="24"/>
          <w:szCs w:val="24"/>
        </w:rPr>
        <w:t xml:space="preserve"> 357,000/=on them. On P.Exh.5 in which  there is  accountability for </w:t>
      </w:r>
      <w:r w:rsidR="00015F82" w:rsidRPr="002B1378">
        <w:rPr>
          <w:rFonts w:ascii="Constantia" w:hAnsi="Constantia" w:cs="Tahoma"/>
          <w:sz w:val="24"/>
          <w:szCs w:val="24"/>
        </w:rPr>
        <w:t xml:space="preserve">UGX </w:t>
      </w:r>
      <w:r w:rsidR="009C49D5" w:rsidRPr="002B1378">
        <w:rPr>
          <w:rFonts w:ascii="Constantia" w:hAnsi="Constantia" w:cs="Tahoma"/>
          <w:sz w:val="24"/>
          <w:szCs w:val="24"/>
        </w:rPr>
        <w:t>30,772,400/= at pages 25-34 for participants C1-C190 and pages 35-44 for participants D1-D190, each of the participants at pages 25</w:t>
      </w:r>
      <w:r w:rsidR="00015F82" w:rsidRPr="002B1378">
        <w:rPr>
          <w:rFonts w:ascii="Constantia" w:hAnsi="Constantia" w:cs="Tahoma"/>
          <w:sz w:val="24"/>
          <w:szCs w:val="24"/>
        </w:rPr>
        <w:t>-34 was supposed to be paid UGX 6000/= this totals to UGX</w:t>
      </w:r>
      <w:r w:rsidR="009C49D5" w:rsidRPr="002B1378">
        <w:rPr>
          <w:rFonts w:ascii="Constantia" w:hAnsi="Constantia" w:cs="Tahoma"/>
          <w:sz w:val="24"/>
          <w:szCs w:val="24"/>
        </w:rPr>
        <w:t xml:space="preserve"> 1,140,000/=</w:t>
      </w:r>
    </w:p>
    <w:p w:rsidR="009C49D5" w:rsidRPr="002B1378" w:rsidRDefault="009C49D5" w:rsidP="00FC18E1">
      <w:pPr>
        <w:spacing w:line="360" w:lineRule="auto"/>
        <w:ind w:left="2160"/>
        <w:jc w:val="both"/>
        <w:rPr>
          <w:rFonts w:ascii="Constantia" w:hAnsi="Constantia" w:cs="Tahoma"/>
          <w:sz w:val="24"/>
          <w:szCs w:val="24"/>
        </w:rPr>
      </w:pPr>
      <w:r w:rsidRPr="002B1378">
        <w:rPr>
          <w:rFonts w:ascii="Constantia" w:hAnsi="Constantia" w:cs="Tahoma"/>
          <w:sz w:val="24"/>
          <w:szCs w:val="24"/>
        </w:rPr>
        <w:t>On pages 35-44 each particip</w:t>
      </w:r>
      <w:r w:rsidR="00412E42" w:rsidRPr="002B1378">
        <w:rPr>
          <w:rFonts w:ascii="Constantia" w:hAnsi="Constantia" w:cs="Tahoma"/>
          <w:sz w:val="24"/>
          <w:szCs w:val="24"/>
        </w:rPr>
        <w:t>ant was supposed to be paid UGX 10,000/=. This totals to UGX</w:t>
      </w:r>
      <w:r w:rsidRPr="002B1378">
        <w:rPr>
          <w:rFonts w:ascii="Constantia" w:hAnsi="Constantia" w:cs="Tahoma"/>
          <w:sz w:val="24"/>
          <w:szCs w:val="24"/>
        </w:rPr>
        <w:t xml:space="preserve"> 1,900,000/=. On page 6, there is a list of trainers, namely: Rwebasira, Ntungwa, Tumwebaze D, Tumwesigye L, Byaruhanga L and Bineguro D. Each of them was supposed to be paid </w:t>
      </w:r>
      <w:r w:rsidR="00412E42" w:rsidRPr="002B1378">
        <w:rPr>
          <w:rFonts w:ascii="Constantia" w:hAnsi="Constantia" w:cs="Tahoma"/>
          <w:sz w:val="24"/>
          <w:szCs w:val="24"/>
        </w:rPr>
        <w:t>a total of UGX</w:t>
      </w:r>
      <w:r w:rsidRPr="002B1378">
        <w:rPr>
          <w:rFonts w:ascii="Constantia" w:hAnsi="Constantia" w:cs="Tahoma"/>
          <w:sz w:val="24"/>
          <w:szCs w:val="24"/>
        </w:rPr>
        <w:t xml:space="preserve"> 60,000/= which is for 6 villages for 2 days at a rate </w:t>
      </w:r>
      <w:r w:rsidR="00412E42" w:rsidRPr="002B1378">
        <w:rPr>
          <w:rFonts w:ascii="Constantia" w:hAnsi="Constantia" w:cs="Tahoma"/>
          <w:sz w:val="24"/>
          <w:szCs w:val="24"/>
        </w:rPr>
        <w:t xml:space="preserve">of UGX </w:t>
      </w:r>
      <w:r w:rsidRPr="002B1378">
        <w:rPr>
          <w:rFonts w:ascii="Constantia" w:hAnsi="Constantia" w:cs="Tahoma"/>
          <w:sz w:val="24"/>
          <w:szCs w:val="24"/>
        </w:rPr>
        <w:t xml:space="preserve">5000/= per village per day. For 6 of them it totals to </w:t>
      </w:r>
      <w:r w:rsidR="00412E42" w:rsidRPr="002B1378">
        <w:rPr>
          <w:rFonts w:ascii="Constantia" w:hAnsi="Constantia" w:cs="Tahoma"/>
          <w:sz w:val="24"/>
          <w:szCs w:val="24"/>
        </w:rPr>
        <w:t xml:space="preserve">UGX </w:t>
      </w:r>
      <w:r w:rsidRPr="002B1378">
        <w:rPr>
          <w:rFonts w:ascii="Constantia" w:hAnsi="Constantia" w:cs="Tahoma"/>
          <w:sz w:val="24"/>
          <w:szCs w:val="24"/>
        </w:rPr>
        <w:t>360,000/=</w:t>
      </w:r>
    </w:p>
    <w:p w:rsidR="009C49D5" w:rsidRPr="002B1378" w:rsidRDefault="009C49D5" w:rsidP="00FC18E1">
      <w:pPr>
        <w:spacing w:line="360" w:lineRule="auto"/>
        <w:ind w:left="2160"/>
        <w:jc w:val="both"/>
        <w:rPr>
          <w:rFonts w:ascii="Constantia" w:hAnsi="Constantia" w:cs="Tahoma"/>
          <w:sz w:val="24"/>
          <w:szCs w:val="24"/>
        </w:rPr>
      </w:pPr>
      <w:r w:rsidRPr="002B1378">
        <w:rPr>
          <w:rFonts w:ascii="Constantia" w:hAnsi="Constantia" w:cs="Tahoma"/>
          <w:sz w:val="24"/>
          <w:szCs w:val="24"/>
        </w:rPr>
        <w:t>On the same page 6 the sub county chief and the Chairperson LC3 were al</w:t>
      </w:r>
      <w:r w:rsidR="00412E42" w:rsidRPr="002B1378">
        <w:rPr>
          <w:rFonts w:ascii="Constantia" w:hAnsi="Constantia" w:cs="Tahoma"/>
          <w:sz w:val="24"/>
          <w:szCs w:val="24"/>
        </w:rPr>
        <w:t>so each supposed to be paid UGX</w:t>
      </w:r>
      <w:r w:rsidRPr="002B1378">
        <w:rPr>
          <w:rFonts w:ascii="Constantia" w:hAnsi="Constantia" w:cs="Tahoma"/>
          <w:sz w:val="24"/>
          <w:szCs w:val="24"/>
        </w:rPr>
        <w:t xml:space="preserve"> 36,000/= </w:t>
      </w:r>
      <w:r w:rsidR="00412E42" w:rsidRPr="002B1378">
        <w:rPr>
          <w:rFonts w:ascii="Constantia" w:hAnsi="Constantia" w:cs="Tahoma"/>
          <w:sz w:val="24"/>
          <w:szCs w:val="24"/>
        </w:rPr>
        <w:t>totalling</w:t>
      </w:r>
      <w:r w:rsidRPr="002B1378">
        <w:rPr>
          <w:rFonts w:ascii="Constantia" w:hAnsi="Constantia" w:cs="Tahoma"/>
          <w:sz w:val="24"/>
          <w:szCs w:val="24"/>
        </w:rPr>
        <w:t xml:space="preserve"> to </w:t>
      </w:r>
      <w:r w:rsidR="00412E42" w:rsidRPr="002B1378">
        <w:rPr>
          <w:rFonts w:ascii="Constantia" w:hAnsi="Constantia" w:cs="Tahoma"/>
          <w:sz w:val="24"/>
          <w:szCs w:val="24"/>
        </w:rPr>
        <w:t xml:space="preserve">UGX </w:t>
      </w:r>
      <w:r w:rsidRPr="002B1378">
        <w:rPr>
          <w:rFonts w:ascii="Constantia" w:hAnsi="Constantia" w:cs="Tahoma"/>
          <w:sz w:val="24"/>
          <w:szCs w:val="24"/>
        </w:rPr>
        <w:t>72,000/= According to the testimony of PW5 at pages 58-59 of the proceedings, the alleged payees denied the alleged payments and that t</w:t>
      </w:r>
      <w:r w:rsidR="00412E42" w:rsidRPr="002B1378">
        <w:rPr>
          <w:rFonts w:ascii="Constantia" w:hAnsi="Constantia" w:cs="Tahoma"/>
          <w:sz w:val="24"/>
          <w:szCs w:val="24"/>
        </w:rPr>
        <w:t>herefore the total loss was UGX</w:t>
      </w:r>
      <w:r w:rsidRPr="002B1378">
        <w:rPr>
          <w:rFonts w:ascii="Constantia" w:hAnsi="Constantia" w:cs="Tahoma"/>
          <w:sz w:val="24"/>
          <w:szCs w:val="24"/>
        </w:rPr>
        <w:t xml:space="preserve"> 3,808,000/=</w:t>
      </w:r>
    </w:p>
    <w:p w:rsidR="009C49D5" w:rsidRPr="002B1378" w:rsidRDefault="009C49D5" w:rsidP="00FC18E1">
      <w:pPr>
        <w:spacing w:line="360" w:lineRule="auto"/>
        <w:ind w:left="2160"/>
        <w:jc w:val="both"/>
        <w:rPr>
          <w:rFonts w:ascii="Constantia" w:hAnsi="Constantia" w:cs="Tahoma"/>
          <w:sz w:val="24"/>
          <w:szCs w:val="24"/>
        </w:rPr>
      </w:pPr>
      <w:r w:rsidRPr="002B1378">
        <w:rPr>
          <w:rFonts w:ascii="Constantia" w:hAnsi="Constantia" w:cs="Tahoma"/>
          <w:sz w:val="24"/>
          <w:szCs w:val="24"/>
        </w:rPr>
        <w:t xml:space="preserve">According to the handwriting expert’s report specimen signature  Exh 27 of one Sanyu was written in  capital letters and therefore it was not comparable with the questioned signatures on C126 for 6000/= and D126 for </w:t>
      </w:r>
      <w:r w:rsidR="00412E42" w:rsidRPr="002B1378">
        <w:rPr>
          <w:rFonts w:ascii="Constantia" w:hAnsi="Constantia" w:cs="Tahoma"/>
          <w:sz w:val="24"/>
          <w:szCs w:val="24"/>
        </w:rPr>
        <w:t xml:space="preserve">UGX </w:t>
      </w:r>
      <w:r w:rsidRPr="002B1378">
        <w:rPr>
          <w:rFonts w:ascii="Constantia" w:hAnsi="Constantia" w:cs="Tahoma"/>
          <w:sz w:val="24"/>
          <w:szCs w:val="24"/>
        </w:rPr>
        <w:t xml:space="preserve">10,000/=. </w:t>
      </w:r>
      <w:r w:rsidR="00412E42" w:rsidRPr="002B1378">
        <w:rPr>
          <w:rFonts w:ascii="Constantia" w:hAnsi="Constantia" w:cs="Tahoma"/>
          <w:sz w:val="24"/>
          <w:szCs w:val="24"/>
        </w:rPr>
        <w:t>In the circumstances UGX</w:t>
      </w:r>
      <w:r w:rsidRPr="002B1378">
        <w:rPr>
          <w:rFonts w:ascii="Constantia" w:hAnsi="Constantia" w:cs="Tahoma"/>
          <w:sz w:val="24"/>
          <w:szCs w:val="24"/>
        </w:rPr>
        <w:t xml:space="preserve"> 16,000/= will be deducted. PW9, Bineguro Dinah denied the alleged signature against her name for </w:t>
      </w:r>
      <w:r w:rsidR="00412E42" w:rsidRPr="002B1378">
        <w:rPr>
          <w:rFonts w:ascii="Constantia" w:hAnsi="Constantia" w:cs="Tahoma"/>
          <w:sz w:val="24"/>
          <w:szCs w:val="24"/>
        </w:rPr>
        <w:t xml:space="preserve">UGX </w:t>
      </w:r>
      <w:r w:rsidRPr="002B1378">
        <w:rPr>
          <w:rFonts w:ascii="Constantia" w:hAnsi="Constantia" w:cs="Tahoma"/>
          <w:sz w:val="24"/>
          <w:szCs w:val="24"/>
        </w:rPr>
        <w:t>60,000/=</w:t>
      </w:r>
      <w:r w:rsidR="000A17BA" w:rsidRPr="002B1378">
        <w:rPr>
          <w:rFonts w:ascii="Constantia" w:hAnsi="Constantia" w:cs="Tahoma"/>
          <w:sz w:val="24"/>
          <w:szCs w:val="24"/>
        </w:rPr>
        <w:t xml:space="preserve"> at p.6 of P.Exh.5. </w:t>
      </w:r>
      <w:r w:rsidR="009929F5" w:rsidRPr="002B1378">
        <w:rPr>
          <w:rFonts w:ascii="Constantia" w:hAnsi="Constantia" w:cs="Tahoma"/>
          <w:sz w:val="24"/>
          <w:szCs w:val="24"/>
        </w:rPr>
        <w:t xml:space="preserve">One </w:t>
      </w:r>
      <w:r w:rsidR="000A17BA" w:rsidRPr="002B1378">
        <w:rPr>
          <w:rFonts w:ascii="Constantia" w:hAnsi="Constantia" w:cs="Tahoma"/>
          <w:sz w:val="24"/>
          <w:szCs w:val="24"/>
        </w:rPr>
        <w:t>Tumwesigye</w:t>
      </w:r>
      <w:r w:rsidRPr="002B1378">
        <w:rPr>
          <w:rFonts w:ascii="Constantia" w:hAnsi="Constantia" w:cs="Tahoma"/>
          <w:sz w:val="24"/>
          <w:szCs w:val="24"/>
        </w:rPr>
        <w:t xml:space="preserve"> who testified as PW12 and RwebasiraGershom who testified as PW14 were not examined about p.6 of P.Exh.5. The handwriting expert’s findings tallies with some of the statements which were tendered in court as P.Exh.15 as some of the witnesses could not be easily found without delay. For example the statement of Turyagenda David which is no.35 tallies with the handwritings findings for author of Exh.17 that he did not sign for shs.21,000 on P.exh.4 and </w:t>
      </w:r>
      <w:r w:rsidR="00412E42" w:rsidRPr="002B1378">
        <w:rPr>
          <w:rFonts w:ascii="Constantia" w:hAnsi="Constantia" w:cs="Tahoma"/>
          <w:sz w:val="24"/>
          <w:szCs w:val="24"/>
        </w:rPr>
        <w:t xml:space="preserve">UGX </w:t>
      </w:r>
      <w:r w:rsidRPr="002B1378">
        <w:rPr>
          <w:rFonts w:ascii="Constantia" w:hAnsi="Constantia" w:cs="Tahoma"/>
          <w:sz w:val="24"/>
          <w:szCs w:val="24"/>
        </w:rPr>
        <w:t xml:space="preserve">6000/= and </w:t>
      </w:r>
      <w:r w:rsidR="00412E42" w:rsidRPr="002B1378">
        <w:rPr>
          <w:rFonts w:ascii="Constantia" w:hAnsi="Constantia" w:cs="Tahoma"/>
          <w:sz w:val="24"/>
          <w:szCs w:val="24"/>
        </w:rPr>
        <w:t xml:space="preserve">UGX </w:t>
      </w:r>
      <w:r w:rsidRPr="002B1378">
        <w:rPr>
          <w:rFonts w:ascii="Constantia" w:hAnsi="Constantia" w:cs="Tahoma"/>
          <w:sz w:val="24"/>
          <w:szCs w:val="24"/>
        </w:rPr>
        <w:t>10,000/= on P.Exh.5.</w:t>
      </w:r>
    </w:p>
    <w:p w:rsidR="009C49D5" w:rsidRPr="002B1378" w:rsidRDefault="009C49D5" w:rsidP="00287F59">
      <w:pPr>
        <w:spacing w:line="360" w:lineRule="auto"/>
        <w:ind w:left="2160"/>
        <w:jc w:val="both"/>
        <w:rPr>
          <w:rFonts w:ascii="Constantia" w:hAnsi="Constantia" w:cs="Tahoma"/>
          <w:sz w:val="24"/>
          <w:szCs w:val="24"/>
        </w:rPr>
      </w:pPr>
      <w:r w:rsidRPr="002B1378">
        <w:rPr>
          <w:rFonts w:ascii="Constantia" w:hAnsi="Constantia" w:cs="Tahoma"/>
          <w:sz w:val="24"/>
          <w:szCs w:val="24"/>
        </w:rPr>
        <w:t xml:space="preserve">P.Exh.15 was tendered in Court with the consent of the </w:t>
      </w:r>
      <w:r w:rsidR="00412E42" w:rsidRPr="002B1378">
        <w:rPr>
          <w:rFonts w:ascii="Constantia" w:hAnsi="Constantia" w:cs="Tahoma"/>
          <w:sz w:val="24"/>
          <w:szCs w:val="24"/>
        </w:rPr>
        <w:t>defence</w:t>
      </w:r>
      <w:r w:rsidRPr="002B1378">
        <w:rPr>
          <w:rFonts w:ascii="Constantia" w:hAnsi="Constantia" w:cs="Tahoma"/>
          <w:sz w:val="24"/>
          <w:szCs w:val="24"/>
        </w:rPr>
        <w:t xml:space="preserve"> as per page 135 of the proceedings. The total which was lost through forgeries on P.Exh 4 and 5 would be 8,904,000 +3,800,000 </w:t>
      </w:r>
      <w:r w:rsidR="00412E42" w:rsidRPr="002B1378">
        <w:rPr>
          <w:rFonts w:ascii="Constantia" w:hAnsi="Constantia" w:cs="Tahoma"/>
          <w:sz w:val="24"/>
          <w:szCs w:val="24"/>
        </w:rPr>
        <w:t>totalling</w:t>
      </w:r>
      <w:r w:rsidRPr="002B1378">
        <w:rPr>
          <w:rFonts w:ascii="Constantia" w:hAnsi="Constantia" w:cs="Tahoma"/>
          <w:sz w:val="24"/>
          <w:szCs w:val="24"/>
        </w:rPr>
        <w:t xml:space="preserve"> to </w:t>
      </w:r>
      <w:r w:rsidR="00412E42" w:rsidRPr="002B1378">
        <w:rPr>
          <w:rFonts w:ascii="Constantia" w:hAnsi="Constantia" w:cs="Tahoma"/>
          <w:sz w:val="24"/>
          <w:szCs w:val="24"/>
        </w:rPr>
        <w:t xml:space="preserve">UGX </w:t>
      </w:r>
      <w:r w:rsidRPr="002B1378">
        <w:rPr>
          <w:rFonts w:ascii="Constantia" w:hAnsi="Constantia" w:cs="Tahoma"/>
          <w:sz w:val="24"/>
          <w:szCs w:val="24"/>
        </w:rPr>
        <w:t xml:space="preserve">12,712,000/=. The total which is to be deducted as a result of the handwriting expert’s findings is </w:t>
      </w:r>
      <w:r w:rsidR="00412E42" w:rsidRPr="002B1378">
        <w:rPr>
          <w:rFonts w:ascii="Constantia" w:hAnsi="Constantia" w:cs="Tahoma"/>
          <w:sz w:val="24"/>
          <w:szCs w:val="24"/>
        </w:rPr>
        <w:t xml:space="preserve">UGX </w:t>
      </w:r>
      <w:r w:rsidRPr="002B1378">
        <w:rPr>
          <w:rFonts w:ascii="Constantia" w:hAnsi="Constantia" w:cs="Tahoma"/>
          <w:sz w:val="24"/>
          <w:szCs w:val="24"/>
        </w:rPr>
        <w:t xml:space="preserve">373,000/=leaving a total of </w:t>
      </w:r>
      <w:r w:rsidR="00412E42" w:rsidRPr="002B1378">
        <w:rPr>
          <w:rFonts w:ascii="Constantia" w:hAnsi="Constantia" w:cs="Tahoma"/>
          <w:sz w:val="24"/>
          <w:szCs w:val="24"/>
        </w:rPr>
        <w:t xml:space="preserve">UGX </w:t>
      </w:r>
      <w:r w:rsidRPr="002B1378">
        <w:rPr>
          <w:rFonts w:ascii="Constantia" w:hAnsi="Constantia" w:cs="Tahoma"/>
          <w:sz w:val="24"/>
          <w:szCs w:val="24"/>
        </w:rPr>
        <w:t>12,339,000/=</w:t>
      </w:r>
    </w:p>
    <w:p w:rsidR="009C49D5" w:rsidRPr="002B1378" w:rsidRDefault="002F358E" w:rsidP="002A17B4">
      <w:pPr>
        <w:jc w:val="both"/>
        <w:rPr>
          <w:rFonts w:ascii="Constantia" w:hAnsi="Constantia"/>
          <w:sz w:val="24"/>
          <w:szCs w:val="24"/>
        </w:rPr>
      </w:pPr>
      <w:r w:rsidRPr="002B1378">
        <w:rPr>
          <w:rFonts w:ascii="Constantia" w:hAnsi="Constantia"/>
          <w:sz w:val="24"/>
          <w:szCs w:val="24"/>
        </w:rPr>
        <w:t>The above findings by the learned trial Magistrate are self explanatory.</w:t>
      </w:r>
      <w:r w:rsidR="00E75FA6" w:rsidRPr="002B1378">
        <w:rPr>
          <w:rFonts w:ascii="Constantia" w:hAnsi="Constantia"/>
          <w:sz w:val="24"/>
          <w:szCs w:val="24"/>
        </w:rPr>
        <w:t xml:space="preserve"> I need not say more</w:t>
      </w:r>
      <w:r w:rsidR="00034561" w:rsidRPr="002B1378">
        <w:rPr>
          <w:rFonts w:ascii="Constantia" w:hAnsi="Constantia"/>
          <w:sz w:val="24"/>
          <w:szCs w:val="24"/>
        </w:rPr>
        <w:t xml:space="preserve"> except to </w:t>
      </w:r>
      <w:r w:rsidR="003F1E78" w:rsidRPr="002B1378">
        <w:rPr>
          <w:rFonts w:ascii="Constantia" w:hAnsi="Constantia"/>
          <w:sz w:val="24"/>
          <w:szCs w:val="24"/>
        </w:rPr>
        <w:t>note that the learned tria</w:t>
      </w:r>
      <w:r w:rsidR="004D5D49" w:rsidRPr="002B1378">
        <w:rPr>
          <w:rFonts w:ascii="Constantia" w:hAnsi="Constantia"/>
          <w:sz w:val="24"/>
          <w:szCs w:val="24"/>
        </w:rPr>
        <w:t xml:space="preserve">l magistrate meticulously went through </w:t>
      </w:r>
      <w:r w:rsidR="00C906B3" w:rsidRPr="002B1378">
        <w:rPr>
          <w:rFonts w:ascii="Constantia" w:hAnsi="Constantia"/>
          <w:sz w:val="24"/>
          <w:szCs w:val="24"/>
        </w:rPr>
        <w:t>a tooth</w:t>
      </w:r>
      <w:r w:rsidR="004D5D49" w:rsidRPr="002B1378">
        <w:rPr>
          <w:rFonts w:ascii="Constantia" w:hAnsi="Constantia"/>
          <w:sz w:val="24"/>
          <w:szCs w:val="24"/>
        </w:rPr>
        <w:t xml:space="preserve">-comb examination </w:t>
      </w:r>
      <w:r w:rsidR="00FA573B" w:rsidRPr="002B1378">
        <w:rPr>
          <w:rFonts w:ascii="Constantia" w:hAnsi="Constantia"/>
          <w:sz w:val="24"/>
          <w:szCs w:val="24"/>
        </w:rPr>
        <w:t>of the</w:t>
      </w:r>
      <w:r w:rsidR="004D5D49" w:rsidRPr="002B1378">
        <w:rPr>
          <w:rFonts w:ascii="Constantia" w:hAnsi="Constantia"/>
          <w:sz w:val="24"/>
          <w:szCs w:val="24"/>
        </w:rPr>
        <w:t xml:space="preserve"> evidence relying on </w:t>
      </w:r>
      <w:r w:rsidR="003F1E78" w:rsidRPr="002B1378">
        <w:rPr>
          <w:rFonts w:ascii="Constantia" w:hAnsi="Constantia"/>
          <w:sz w:val="24"/>
          <w:szCs w:val="24"/>
        </w:rPr>
        <w:t>prosecution exhibits ‘</w:t>
      </w:r>
      <w:r w:rsidR="00412E42" w:rsidRPr="002B1378">
        <w:rPr>
          <w:rFonts w:ascii="Constantia" w:hAnsi="Constantia"/>
          <w:sz w:val="24"/>
          <w:szCs w:val="24"/>
        </w:rPr>
        <w:t>P4’, ‘P</w:t>
      </w:r>
      <w:r w:rsidR="003F1E78" w:rsidRPr="002B1378">
        <w:rPr>
          <w:rFonts w:ascii="Constantia" w:hAnsi="Constantia"/>
          <w:sz w:val="24"/>
          <w:szCs w:val="24"/>
        </w:rPr>
        <w:t>5’, ‘</w:t>
      </w:r>
      <w:r w:rsidR="00412E42" w:rsidRPr="002B1378">
        <w:rPr>
          <w:rFonts w:ascii="Constantia" w:hAnsi="Constantia"/>
          <w:sz w:val="24"/>
          <w:szCs w:val="24"/>
        </w:rPr>
        <w:t>P</w:t>
      </w:r>
      <w:r w:rsidR="003F1E78" w:rsidRPr="002B1378">
        <w:rPr>
          <w:rFonts w:ascii="Constantia" w:hAnsi="Constantia"/>
          <w:sz w:val="24"/>
          <w:szCs w:val="24"/>
        </w:rPr>
        <w:t>15’ and ‘</w:t>
      </w:r>
      <w:r w:rsidR="00412E42" w:rsidRPr="002B1378">
        <w:rPr>
          <w:rFonts w:ascii="Constantia" w:hAnsi="Constantia"/>
          <w:sz w:val="24"/>
          <w:szCs w:val="24"/>
        </w:rPr>
        <w:t>P</w:t>
      </w:r>
      <w:r w:rsidR="003F1E78" w:rsidRPr="002B1378">
        <w:rPr>
          <w:rFonts w:ascii="Constantia" w:hAnsi="Constantia"/>
          <w:sz w:val="24"/>
          <w:szCs w:val="24"/>
        </w:rPr>
        <w:t>27’. She also considered the evidence of PW9, PW12, a</w:t>
      </w:r>
      <w:r w:rsidR="00316FF3" w:rsidRPr="002B1378">
        <w:rPr>
          <w:rFonts w:ascii="Constantia" w:hAnsi="Constantia"/>
          <w:sz w:val="24"/>
          <w:szCs w:val="24"/>
        </w:rPr>
        <w:t>nd PW14</w:t>
      </w:r>
      <w:r w:rsidR="00034561" w:rsidRPr="002B1378">
        <w:rPr>
          <w:rFonts w:ascii="Constantia" w:hAnsi="Constantia"/>
          <w:sz w:val="24"/>
          <w:szCs w:val="24"/>
        </w:rPr>
        <w:t xml:space="preserve">. </w:t>
      </w:r>
      <w:r w:rsidR="00316FF3" w:rsidRPr="002B1378">
        <w:rPr>
          <w:rFonts w:ascii="Constantia" w:hAnsi="Constantia"/>
          <w:sz w:val="24"/>
          <w:szCs w:val="24"/>
        </w:rPr>
        <w:t xml:space="preserve"> I find that the decision of the learned trial magistrate was</w:t>
      </w:r>
      <w:r w:rsidR="004C41DF" w:rsidRPr="002B1378">
        <w:rPr>
          <w:rFonts w:ascii="Constantia" w:hAnsi="Constantia"/>
          <w:sz w:val="24"/>
          <w:szCs w:val="24"/>
        </w:rPr>
        <w:t xml:space="preserve"> based on sound judgment. </w:t>
      </w:r>
      <w:r w:rsidR="004D5D49" w:rsidRPr="002B1378">
        <w:rPr>
          <w:rFonts w:ascii="Constantia" w:hAnsi="Constantia"/>
          <w:sz w:val="24"/>
          <w:szCs w:val="24"/>
        </w:rPr>
        <w:t>I have scrutinised both prosecution and defence</w:t>
      </w:r>
      <w:r w:rsidR="00D925DD" w:rsidRPr="002B1378">
        <w:rPr>
          <w:rFonts w:ascii="Constantia" w:hAnsi="Constantia"/>
          <w:sz w:val="24"/>
          <w:szCs w:val="24"/>
        </w:rPr>
        <w:t xml:space="preserve"> evidence</w:t>
      </w:r>
      <w:r w:rsidR="00C61FDE" w:rsidRPr="002B1378">
        <w:rPr>
          <w:rFonts w:ascii="Constantia" w:hAnsi="Constantia"/>
          <w:sz w:val="24"/>
          <w:szCs w:val="24"/>
        </w:rPr>
        <w:t xml:space="preserve"> as a whole and would</w:t>
      </w:r>
      <w:r w:rsidR="003F1E78" w:rsidRPr="002B1378">
        <w:rPr>
          <w:rFonts w:ascii="Constantia" w:hAnsi="Constantia"/>
          <w:sz w:val="24"/>
          <w:szCs w:val="24"/>
        </w:rPr>
        <w:t xml:space="preserve"> not fault the learned trial m</w:t>
      </w:r>
      <w:r w:rsidR="00C77099" w:rsidRPr="002B1378">
        <w:rPr>
          <w:rFonts w:ascii="Constantia" w:hAnsi="Constantia"/>
          <w:sz w:val="24"/>
          <w:szCs w:val="24"/>
        </w:rPr>
        <w:t>agistrate’s findings. I find that</w:t>
      </w:r>
      <w:r w:rsidR="003F1E78" w:rsidRPr="002B1378">
        <w:rPr>
          <w:rFonts w:ascii="Constantia" w:hAnsi="Constantia"/>
          <w:sz w:val="24"/>
          <w:szCs w:val="24"/>
        </w:rPr>
        <w:t xml:space="preserve"> even if the learned trial magistrate had devoted half of her findings on</w:t>
      </w:r>
      <w:r w:rsidR="00C61FDE" w:rsidRPr="002B1378">
        <w:rPr>
          <w:rFonts w:ascii="Constantia" w:hAnsi="Constantia"/>
          <w:sz w:val="24"/>
          <w:szCs w:val="24"/>
        </w:rPr>
        <w:t xml:space="preserve"> giving attention to</w:t>
      </w:r>
      <w:r w:rsidR="003F1E78" w:rsidRPr="002B1378">
        <w:rPr>
          <w:rFonts w:ascii="Constantia" w:hAnsi="Constantia"/>
          <w:sz w:val="24"/>
          <w:szCs w:val="24"/>
        </w:rPr>
        <w:t xml:space="preserve"> the defence case, she probably would have arrived at the same conclusion of guilt. </w:t>
      </w:r>
    </w:p>
    <w:p w:rsidR="003F1E78" w:rsidRPr="002B1378" w:rsidRDefault="003F1E78" w:rsidP="002A17B4">
      <w:pPr>
        <w:jc w:val="both"/>
        <w:rPr>
          <w:rFonts w:ascii="Constantia" w:hAnsi="Constantia"/>
          <w:sz w:val="24"/>
          <w:szCs w:val="24"/>
        </w:rPr>
      </w:pPr>
      <w:r w:rsidRPr="002B1378">
        <w:rPr>
          <w:rFonts w:ascii="Constantia" w:hAnsi="Constantia"/>
          <w:sz w:val="24"/>
          <w:szCs w:val="24"/>
        </w:rPr>
        <w:t>I find no reason to upset the findings of the lower court.</w:t>
      </w:r>
    </w:p>
    <w:p w:rsidR="003F1E78" w:rsidRPr="002B1378" w:rsidRDefault="003F1E78" w:rsidP="002A17B4">
      <w:pPr>
        <w:jc w:val="both"/>
        <w:rPr>
          <w:rFonts w:ascii="Constantia" w:hAnsi="Constantia"/>
          <w:sz w:val="24"/>
          <w:szCs w:val="24"/>
        </w:rPr>
      </w:pPr>
      <w:r w:rsidRPr="002B1378">
        <w:rPr>
          <w:rFonts w:ascii="Constantia" w:hAnsi="Constantia"/>
          <w:sz w:val="24"/>
          <w:szCs w:val="24"/>
        </w:rPr>
        <w:t>This appeal is</w:t>
      </w:r>
      <w:r w:rsidR="00433EF1" w:rsidRPr="002B1378">
        <w:rPr>
          <w:rFonts w:ascii="Constantia" w:hAnsi="Constantia"/>
          <w:sz w:val="24"/>
          <w:szCs w:val="24"/>
        </w:rPr>
        <w:t xml:space="preserve"> therefore</w:t>
      </w:r>
      <w:r w:rsidRPr="002B1378">
        <w:rPr>
          <w:rFonts w:ascii="Constantia" w:hAnsi="Constantia"/>
          <w:sz w:val="24"/>
          <w:szCs w:val="24"/>
        </w:rPr>
        <w:t xml:space="preserve"> dismissed.</w:t>
      </w:r>
    </w:p>
    <w:p w:rsidR="00D10D6A" w:rsidRPr="002B1378" w:rsidRDefault="00D10D6A">
      <w:pPr>
        <w:rPr>
          <w:rFonts w:ascii="Constantia" w:hAnsi="Constantia"/>
          <w:sz w:val="24"/>
          <w:szCs w:val="24"/>
        </w:rPr>
      </w:pPr>
    </w:p>
    <w:p w:rsidR="008A347C" w:rsidRPr="002B1378" w:rsidRDefault="008A347C">
      <w:pPr>
        <w:rPr>
          <w:rFonts w:ascii="Algerian" w:hAnsi="Algerian"/>
          <w:sz w:val="24"/>
          <w:szCs w:val="24"/>
        </w:rPr>
      </w:pPr>
    </w:p>
    <w:p w:rsidR="00D10D6A" w:rsidRPr="002B1378" w:rsidRDefault="00D10D6A">
      <w:pPr>
        <w:rPr>
          <w:rFonts w:ascii="Algerian" w:hAnsi="Algerian"/>
          <w:sz w:val="24"/>
          <w:szCs w:val="24"/>
        </w:rPr>
      </w:pPr>
      <w:r w:rsidRPr="002B1378">
        <w:rPr>
          <w:rFonts w:ascii="Algerian" w:hAnsi="Algerian"/>
          <w:sz w:val="24"/>
          <w:szCs w:val="24"/>
        </w:rPr>
        <w:t>Signed:</w:t>
      </w:r>
    </w:p>
    <w:p w:rsidR="00D10D6A" w:rsidRPr="002B1378" w:rsidRDefault="00D10D6A">
      <w:pPr>
        <w:rPr>
          <w:rFonts w:ascii="Algerian" w:hAnsi="Algerian"/>
          <w:sz w:val="24"/>
          <w:szCs w:val="24"/>
        </w:rPr>
      </w:pPr>
      <w:r w:rsidRPr="002B1378">
        <w:rPr>
          <w:rFonts w:ascii="Algerian" w:hAnsi="Algerian"/>
          <w:sz w:val="24"/>
          <w:szCs w:val="24"/>
        </w:rPr>
        <w:t>Hon. Lady Justice Catherine Bamugemereire</w:t>
      </w:r>
    </w:p>
    <w:p w:rsidR="001D31E0" w:rsidRPr="002B1378" w:rsidRDefault="001D31E0">
      <w:pPr>
        <w:rPr>
          <w:rFonts w:ascii="Algerian" w:hAnsi="Algerian"/>
          <w:sz w:val="24"/>
          <w:szCs w:val="24"/>
        </w:rPr>
      </w:pPr>
      <w:r w:rsidRPr="002B1378">
        <w:rPr>
          <w:rFonts w:ascii="Algerian" w:hAnsi="Algerian"/>
          <w:sz w:val="24"/>
          <w:szCs w:val="24"/>
        </w:rPr>
        <w:t>14/Dec/2011</w:t>
      </w:r>
    </w:p>
    <w:p w:rsidR="009C49D5" w:rsidRPr="002B1378" w:rsidRDefault="009C49D5">
      <w:pPr>
        <w:rPr>
          <w:rFonts w:ascii="Constantia" w:hAnsi="Constantia"/>
          <w:sz w:val="24"/>
          <w:szCs w:val="24"/>
        </w:rPr>
      </w:pPr>
    </w:p>
    <w:sectPr w:rsidR="009C49D5" w:rsidRPr="002B1378" w:rsidSect="00884C6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BC8" w:rsidRDefault="00620BC8" w:rsidP="004316E0">
      <w:pPr>
        <w:spacing w:after="0" w:line="240" w:lineRule="auto"/>
      </w:pPr>
      <w:r>
        <w:separator/>
      </w:r>
    </w:p>
  </w:endnote>
  <w:endnote w:type="continuationSeparator" w:id="1">
    <w:p w:rsidR="00620BC8" w:rsidRDefault="00620BC8" w:rsidP="0043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79"/>
      <w:docPartObj>
        <w:docPartGallery w:val="Page Numbers (Bottom of Page)"/>
        <w:docPartUnique/>
      </w:docPartObj>
    </w:sdtPr>
    <w:sdtContent>
      <w:p w:rsidR="00FA3202" w:rsidRDefault="001F60FB">
        <w:pPr>
          <w:pStyle w:val="Footer"/>
          <w:jc w:val="center"/>
        </w:pPr>
        <w:r>
          <w:fldChar w:fldCharType="begin"/>
        </w:r>
        <w:r w:rsidR="00CC57AE">
          <w:instrText xml:space="preserve"> PAGE   \* MERGEFORMAT </w:instrText>
        </w:r>
        <w:r>
          <w:fldChar w:fldCharType="separate"/>
        </w:r>
        <w:r w:rsidR="00620BC8">
          <w:rPr>
            <w:noProof/>
          </w:rPr>
          <w:t>1</w:t>
        </w:r>
        <w:r>
          <w:rPr>
            <w:noProof/>
          </w:rPr>
          <w:fldChar w:fldCharType="end"/>
        </w:r>
      </w:p>
    </w:sdtContent>
  </w:sdt>
  <w:p w:rsidR="00FC18E1" w:rsidRDefault="00FC18E1">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BC8" w:rsidRDefault="00620BC8" w:rsidP="004316E0">
      <w:pPr>
        <w:spacing w:after="0" w:line="240" w:lineRule="auto"/>
      </w:pPr>
      <w:r>
        <w:separator/>
      </w:r>
    </w:p>
  </w:footnote>
  <w:footnote w:type="continuationSeparator" w:id="1">
    <w:p w:rsidR="00620BC8" w:rsidRDefault="00620BC8" w:rsidP="004316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20"/>
  <w:characterSpacingControl w:val="doNotCompress"/>
  <w:savePreviewPicture/>
  <w:footnotePr>
    <w:footnote w:id="0"/>
    <w:footnote w:id="1"/>
  </w:footnotePr>
  <w:endnotePr>
    <w:endnote w:id="0"/>
    <w:endnote w:id="1"/>
  </w:endnotePr>
  <w:compat/>
  <w:rsids>
    <w:rsidRoot w:val="007C65C3"/>
    <w:rsid w:val="00015F82"/>
    <w:rsid w:val="00034561"/>
    <w:rsid w:val="000414EB"/>
    <w:rsid w:val="00076EBA"/>
    <w:rsid w:val="000A17BA"/>
    <w:rsid w:val="001070EE"/>
    <w:rsid w:val="00125828"/>
    <w:rsid w:val="001431B4"/>
    <w:rsid w:val="001A6E2A"/>
    <w:rsid w:val="001A7407"/>
    <w:rsid w:val="001D31E0"/>
    <w:rsid w:val="001F464B"/>
    <w:rsid w:val="001F4B72"/>
    <w:rsid w:val="001F56CD"/>
    <w:rsid w:val="001F60FB"/>
    <w:rsid w:val="00217A13"/>
    <w:rsid w:val="00235A93"/>
    <w:rsid w:val="00267454"/>
    <w:rsid w:val="00273369"/>
    <w:rsid w:val="0028483A"/>
    <w:rsid w:val="00287F59"/>
    <w:rsid w:val="002A17B4"/>
    <w:rsid w:val="002A5018"/>
    <w:rsid w:val="002B1378"/>
    <w:rsid w:val="002C74DE"/>
    <w:rsid w:val="002C7E1F"/>
    <w:rsid w:val="002F358E"/>
    <w:rsid w:val="00305795"/>
    <w:rsid w:val="00316FF3"/>
    <w:rsid w:val="00330E38"/>
    <w:rsid w:val="003429B5"/>
    <w:rsid w:val="00352229"/>
    <w:rsid w:val="00353393"/>
    <w:rsid w:val="00370FAF"/>
    <w:rsid w:val="003B16DB"/>
    <w:rsid w:val="003F1E78"/>
    <w:rsid w:val="004028BD"/>
    <w:rsid w:val="004108B0"/>
    <w:rsid w:val="00412E42"/>
    <w:rsid w:val="00423269"/>
    <w:rsid w:val="004316E0"/>
    <w:rsid w:val="00433EF1"/>
    <w:rsid w:val="004806DA"/>
    <w:rsid w:val="00490220"/>
    <w:rsid w:val="004C1143"/>
    <w:rsid w:val="004C41DF"/>
    <w:rsid w:val="004D3E1D"/>
    <w:rsid w:val="004D410D"/>
    <w:rsid w:val="004D5D49"/>
    <w:rsid w:val="004F0BF4"/>
    <w:rsid w:val="004F6A6E"/>
    <w:rsid w:val="0057592B"/>
    <w:rsid w:val="005C3C50"/>
    <w:rsid w:val="005C45AF"/>
    <w:rsid w:val="005D0EA7"/>
    <w:rsid w:val="00620BC8"/>
    <w:rsid w:val="00643446"/>
    <w:rsid w:val="006563AB"/>
    <w:rsid w:val="00664459"/>
    <w:rsid w:val="00687033"/>
    <w:rsid w:val="00690FD2"/>
    <w:rsid w:val="006A1D7D"/>
    <w:rsid w:val="006D5A44"/>
    <w:rsid w:val="006F3494"/>
    <w:rsid w:val="00722D24"/>
    <w:rsid w:val="007573D6"/>
    <w:rsid w:val="00763D04"/>
    <w:rsid w:val="00787B94"/>
    <w:rsid w:val="007C65C3"/>
    <w:rsid w:val="00832A29"/>
    <w:rsid w:val="00884C6D"/>
    <w:rsid w:val="008A347C"/>
    <w:rsid w:val="008A56FB"/>
    <w:rsid w:val="008B1C67"/>
    <w:rsid w:val="008E7398"/>
    <w:rsid w:val="0092578D"/>
    <w:rsid w:val="00930AFD"/>
    <w:rsid w:val="009929F5"/>
    <w:rsid w:val="009B0E79"/>
    <w:rsid w:val="009B7950"/>
    <w:rsid w:val="009C49D5"/>
    <w:rsid w:val="009C747F"/>
    <w:rsid w:val="009F632D"/>
    <w:rsid w:val="00A04643"/>
    <w:rsid w:val="00A04B0F"/>
    <w:rsid w:val="00A5669B"/>
    <w:rsid w:val="00A962BA"/>
    <w:rsid w:val="00AC108B"/>
    <w:rsid w:val="00AD3CB2"/>
    <w:rsid w:val="00B100C1"/>
    <w:rsid w:val="00B47501"/>
    <w:rsid w:val="00BB79E9"/>
    <w:rsid w:val="00C1107D"/>
    <w:rsid w:val="00C455FE"/>
    <w:rsid w:val="00C61FDE"/>
    <w:rsid w:val="00C77099"/>
    <w:rsid w:val="00C83A57"/>
    <w:rsid w:val="00C876B8"/>
    <w:rsid w:val="00C906B3"/>
    <w:rsid w:val="00CA3146"/>
    <w:rsid w:val="00CC57AE"/>
    <w:rsid w:val="00CD7489"/>
    <w:rsid w:val="00CE6B5F"/>
    <w:rsid w:val="00D00641"/>
    <w:rsid w:val="00D054E1"/>
    <w:rsid w:val="00D05A59"/>
    <w:rsid w:val="00D10D6A"/>
    <w:rsid w:val="00D36B56"/>
    <w:rsid w:val="00D52473"/>
    <w:rsid w:val="00D56EDF"/>
    <w:rsid w:val="00D925DD"/>
    <w:rsid w:val="00DA5225"/>
    <w:rsid w:val="00DC47D5"/>
    <w:rsid w:val="00DD3C2A"/>
    <w:rsid w:val="00DF3529"/>
    <w:rsid w:val="00E5529C"/>
    <w:rsid w:val="00E74A27"/>
    <w:rsid w:val="00E75FA6"/>
    <w:rsid w:val="00E811B5"/>
    <w:rsid w:val="00EA4C11"/>
    <w:rsid w:val="00EF3A93"/>
    <w:rsid w:val="00EF6099"/>
    <w:rsid w:val="00F2057F"/>
    <w:rsid w:val="00F34686"/>
    <w:rsid w:val="00FA3202"/>
    <w:rsid w:val="00FA3F3D"/>
    <w:rsid w:val="00FA49F5"/>
    <w:rsid w:val="00FA573B"/>
    <w:rsid w:val="00FC18E1"/>
    <w:rsid w:val="00FC33E6"/>
    <w:rsid w:val="00FC4B20"/>
    <w:rsid w:val="00FE01FA"/>
    <w:rsid w:val="00FE6B52"/>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32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320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A3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202"/>
  </w:style>
  <w:style w:type="paragraph" w:styleId="Footer">
    <w:name w:val="footer"/>
    <w:basedOn w:val="Normal"/>
    <w:link w:val="FooterChar"/>
    <w:uiPriority w:val="99"/>
    <w:unhideWhenUsed/>
    <w:rsid w:val="00FA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202"/>
  </w:style>
  <w:style w:type="paragraph" w:styleId="BalloonText">
    <w:name w:val="Balloon Text"/>
    <w:basedOn w:val="Normal"/>
    <w:link w:val="BalloonTextChar"/>
    <w:uiPriority w:val="99"/>
    <w:semiHidden/>
    <w:unhideWhenUsed/>
    <w:rsid w:val="00CC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850578">
      <w:bodyDiv w:val="1"/>
      <w:marLeft w:val="0"/>
      <w:marRight w:val="0"/>
      <w:marTop w:val="0"/>
      <w:marBottom w:val="0"/>
      <w:divBdr>
        <w:top w:val="none" w:sz="0" w:space="0" w:color="auto"/>
        <w:left w:val="none" w:sz="0" w:space="0" w:color="auto"/>
        <w:bottom w:val="none" w:sz="0" w:space="0" w:color="auto"/>
        <w:right w:val="none" w:sz="0" w:space="0" w:color="auto"/>
      </w:divBdr>
    </w:div>
    <w:div w:id="2069062132">
      <w:bodyDiv w:val="1"/>
      <w:marLeft w:val="0"/>
      <w:marRight w:val="0"/>
      <w:marTop w:val="0"/>
      <w:marBottom w:val="0"/>
      <w:divBdr>
        <w:top w:val="none" w:sz="0" w:space="0" w:color="auto"/>
        <w:left w:val="none" w:sz="0" w:space="0" w:color="auto"/>
        <w:bottom w:val="none" w:sz="0" w:space="0" w:color="auto"/>
        <w:right w:val="none" w:sz="0" w:space="0" w:color="auto"/>
      </w:divBdr>
    </w:div>
    <w:div w:id="20993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cbamugemereire</dc:creator>
  <cp:lastModifiedBy>jmugala</cp:lastModifiedBy>
  <cp:revision>2</cp:revision>
  <cp:lastPrinted>2012-03-23T04:15:00Z</cp:lastPrinted>
  <dcterms:created xsi:type="dcterms:W3CDTF">2012-05-16T05:49:00Z</dcterms:created>
  <dcterms:modified xsi:type="dcterms:W3CDTF">2012-05-16T05:49:00Z</dcterms:modified>
</cp:coreProperties>
</file>