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5E" w:rsidRPr="000D2BD8" w:rsidRDefault="00FA735E" w:rsidP="00FA735E">
      <w:pPr>
        <w:rPr>
          <w:rFonts w:ascii="Times New Roman" w:hAnsi="Times New Roman"/>
          <w:sz w:val="24"/>
          <w:szCs w:val="24"/>
        </w:rPr>
      </w:pPr>
      <w:bookmarkStart w:id="0" w:name="_GoBack"/>
      <w:bookmarkEnd w:id="0"/>
    </w:p>
    <w:p w:rsidR="00FA735E" w:rsidRPr="000D2BD8" w:rsidRDefault="00FA735E" w:rsidP="00FA735E">
      <w:pPr>
        <w:pStyle w:val="NoSpacing"/>
        <w:jc w:val="center"/>
        <w:rPr>
          <w:rFonts w:ascii="Times New Roman" w:hAnsi="Times New Roman"/>
          <w:b/>
          <w:sz w:val="24"/>
          <w:szCs w:val="24"/>
        </w:rPr>
      </w:pPr>
      <w:r w:rsidRPr="000D2BD8">
        <w:rPr>
          <w:rFonts w:ascii="Times New Roman" w:hAnsi="Times New Roman"/>
          <w:b/>
          <w:sz w:val="24"/>
          <w:szCs w:val="24"/>
        </w:rPr>
        <w:t>THE REPUBLIC OF UGANDA</w:t>
      </w:r>
    </w:p>
    <w:p w:rsidR="00FA735E" w:rsidRPr="000D2BD8" w:rsidRDefault="00FA735E" w:rsidP="00FA735E">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FA735E" w:rsidRPr="000D2BD8" w:rsidRDefault="00FA735E" w:rsidP="00FA735E">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FA735E" w:rsidRPr="000D2BD8" w:rsidRDefault="00FA735E" w:rsidP="00FA735E">
      <w:pPr>
        <w:pStyle w:val="NoSpacing"/>
        <w:jc w:val="center"/>
        <w:rPr>
          <w:rFonts w:ascii="Times New Roman" w:hAnsi="Times New Roman"/>
          <w:b/>
          <w:sz w:val="24"/>
          <w:szCs w:val="24"/>
        </w:rPr>
      </w:pPr>
      <w:proofErr w:type="gramStart"/>
      <w:r w:rsidRPr="000D2BD8">
        <w:rPr>
          <w:rFonts w:ascii="Times New Roman" w:hAnsi="Times New Roman"/>
          <w:b/>
          <w:sz w:val="24"/>
          <w:szCs w:val="24"/>
        </w:rPr>
        <w:t>MISC APPLICATION NO.</w:t>
      </w:r>
      <w:proofErr w:type="gramEnd"/>
      <w:r w:rsidRPr="000D2BD8">
        <w:rPr>
          <w:rFonts w:ascii="Times New Roman" w:hAnsi="Times New Roman"/>
          <w:b/>
          <w:sz w:val="24"/>
          <w:szCs w:val="24"/>
        </w:rPr>
        <w:t xml:space="preserve"> 714 OF 2013</w:t>
      </w:r>
    </w:p>
    <w:p w:rsidR="00FA735E" w:rsidRPr="000D2BD8" w:rsidRDefault="00FA735E" w:rsidP="00FA735E">
      <w:pPr>
        <w:pStyle w:val="NoSpacing"/>
        <w:jc w:val="center"/>
        <w:rPr>
          <w:rFonts w:ascii="Times New Roman" w:hAnsi="Times New Roman"/>
          <w:b/>
          <w:sz w:val="24"/>
          <w:szCs w:val="24"/>
        </w:rPr>
      </w:pPr>
      <w:proofErr w:type="gramStart"/>
      <w:r w:rsidRPr="000D2BD8">
        <w:rPr>
          <w:rFonts w:ascii="Times New Roman" w:hAnsi="Times New Roman"/>
          <w:b/>
          <w:sz w:val="24"/>
          <w:szCs w:val="24"/>
        </w:rPr>
        <w:t>(ARISING OUT OF CIVIL SUIT NO.</w:t>
      </w:r>
      <w:proofErr w:type="gramEnd"/>
      <w:r w:rsidRPr="000D2BD8">
        <w:rPr>
          <w:rFonts w:ascii="Times New Roman" w:hAnsi="Times New Roman"/>
          <w:b/>
          <w:sz w:val="24"/>
          <w:szCs w:val="24"/>
        </w:rPr>
        <w:t xml:space="preserve">  350 OF 2013)</w:t>
      </w:r>
    </w:p>
    <w:p w:rsidR="00FA735E" w:rsidRPr="000D2BD8" w:rsidRDefault="00FA735E" w:rsidP="00FA735E">
      <w:pPr>
        <w:pStyle w:val="NoSpacing"/>
        <w:jc w:val="center"/>
        <w:rPr>
          <w:rFonts w:ascii="Times New Roman" w:hAnsi="Times New Roman"/>
          <w:b/>
          <w:sz w:val="24"/>
          <w:szCs w:val="24"/>
        </w:rPr>
      </w:pPr>
    </w:p>
    <w:p w:rsidR="00FA735E" w:rsidRPr="000D2BD8" w:rsidRDefault="00FA735E" w:rsidP="00FA735E">
      <w:pPr>
        <w:pStyle w:val="NoSpacing"/>
        <w:numPr>
          <w:ilvl w:val="0"/>
          <w:numId w:val="1"/>
        </w:numP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4C50281D" wp14:editId="3A1FB3EE">
                <wp:simplePos x="0" y="0"/>
                <wp:positionH relativeFrom="column">
                  <wp:posOffset>2366645</wp:posOffset>
                </wp:positionH>
                <wp:positionV relativeFrom="paragraph">
                  <wp:posOffset>113030</wp:posOffset>
                </wp:positionV>
                <wp:extent cx="90805" cy="419100"/>
                <wp:effectExtent l="13970" t="8255" r="9525" b="1079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9100"/>
                        </a:xfrm>
                        <a:prstGeom prst="rightBrace">
                          <a:avLst>
                            <a:gd name="adj1" fmla="val 38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margin-left:186.35pt;margin-top:8.9pt;width:7.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"/>
            </w:pict>
          </mc:Fallback>
        </mc:AlternateContent>
      </w:r>
      <w:r w:rsidRPr="000D2BD8">
        <w:rPr>
          <w:rFonts w:ascii="Times New Roman" w:hAnsi="Times New Roman"/>
          <w:b/>
          <w:sz w:val="24"/>
          <w:szCs w:val="24"/>
        </w:rPr>
        <w:t xml:space="preserve">POPINA GENERAL SUPPLIES                       </w:t>
      </w:r>
    </w:p>
    <w:p w:rsidR="00FA735E" w:rsidRPr="000D2BD8" w:rsidRDefault="00FA735E" w:rsidP="00FA735E">
      <w:pPr>
        <w:pStyle w:val="NoSpacing"/>
        <w:numPr>
          <w:ilvl w:val="0"/>
          <w:numId w:val="1"/>
        </w:numPr>
        <w:rPr>
          <w:rFonts w:ascii="Times New Roman" w:hAnsi="Times New Roman"/>
          <w:b/>
          <w:sz w:val="24"/>
          <w:szCs w:val="24"/>
        </w:rPr>
      </w:pPr>
      <w:r w:rsidRPr="000D2BD8">
        <w:rPr>
          <w:rFonts w:ascii="Times New Roman" w:hAnsi="Times New Roman"/>
          <w:b/>
          <w:sz w:val="24"/>
          <w:szCs w:val="24"/>
        </w:rPr>
        <w:t>INNOCENT MUGISHA …………………………………………….    APPLICANTS</w:t>
      </w:r>
    </w:p>
    <w:p w:rsidR="00FA735E" w:rsidRPr="000D2BD8" w:rsidRDefault="00FA735E" w:rsidP="00FA735E">
      <w:pPr>
        <w:pStyle w:val="NoSpacing"/>
        <w:numPr>
          <w:ilvl w:val="0"/>
          <w:numId w:val="1"/>
        </w:numPr>
        <w:rPr>
          <w:rFonts w:ascii="Times New Roman" w:hAnsi="Times New Roman"/>
          <w:b/>
          <w:sz w:val="24"/>
          <w:szCs w:val="24"/>
        </w:rPr>
      </w:pPr>
      <w:r w:rsidRPr="000D2BD8">
        <w:rPr>
          <w:rFonts w:ascii="Times New Roman" w:hAnsi="Times New Roman"/>
          <w:b/>
          <w:sz w:val="24"/>
          <w:szCs w:val="24"/>
        </w:rPr>
        <w:t>JACKIE BAYONGA</w:t>
      </w:r>
    </w:p>
    <w:p w:rsidR="00FA735E" w:rsidRPr="000D2BD8" w:rsidRDefault="00FA735E" w:rsidP="00FA735E">
      <w:pPr>
        <w:pStyle w:val="NoSpacing"/>
        <w:rPr>
          <w:rFonts w:ascii="Times New Roman" w:hAnsi="Times New Roman"/>
          <w:b/>
          <w:sz w:val="24"/>
          <w:szCs w:val="24"/>
        </w:rPr>
      </w:pPr>
      <w:r w:rsidRPr="000D2BD8">
        <w:rPr>
          <w:rFonts w:ascii="Times New Roman" w:hAnsi="Times New Roman"/>
          <w:b/>
          <w:sz w:val="24"/>
          <w:szCs w:val="24"/>
        </w:rPr>
        <w:tab/>
      </w:r>
      <w:r w:rsidRPr="000D2BD8">
        <w:rPr>
          <w:rFonts w:ascii="Times New Roman" w:hAnsi="Times New Roman"/>
          <w:b/>
          <w:sz w:val="24"/>
          <w:szCs w:val="24"/>
        </w:rPr>
        <w:tab/>
      </w:r>
      <w:r w:rsidRPr="000D2BD8">
        <w:rPr>
          <w:rFonts w:ascii="Times New Roman" w:hAnsi="Times New Roman"/>
          <w:b/>
          <w:sz w:val="24"/>
          <w:szCs w:val="24"/>
        </w:rPr>
        <w:tab/>
      </w:r>
      <w:r w:rsidRPr="000D2BD8">
        <w:rPr>
          <w:rFonts w:ascii="Times New Roman" w:hAnsi="Times New Roman"/>
          <w:b/>
          <w:sz w:val="24"/>
          <w:szCs w:val="24"/>
        </w:rPr>
        <w:tab/>
      </w:r>
      <w:r w:rsidRPr="000D2BD8">
        <w:rPr>
          <w:rFonts w:ascii="Times New Roman" w:hAnsi="Times New Roman"/>
          <w:b/>
          <w:sz w:val="24"/>
          <w:szCs w:val="24"/>
        </w:rPr>
        <w:tab/>
      </w:r>
    </w:p>
    <w:p w:rsidR="00FA735E" w:rsidRPr="000D2BD8" w:rsidRDefault="00FA735E" w:rsidP="00FA735E">
      <w:pPr>
        <w:jc w:val="center"/>
        <w:rPr>
          <w:rFonts w:ascii="Times New Roman" w:hAnsi="Times New Roman"/>
          <w:b/>
          <w:sz w:val="24"/>
          <w:szCs w:val="24"/>
        </w:rPr>
      </w:pPr>
      <w:r w:rsidRPr="000D2BD8">
        <w:rPr>
          <w:rFonts w:ascii="Times New Roman" w:hAnsi="Times New Roman"/>
          <w:b/>
          <w:sz w:val="24"/>
          <w:szCs w:val="24"/>
        </w:rPr>
        <w:t>VERSUS</w:t>
      </w:r>
    </w:p>
    <w:p w:rsidR="00FA735E" w:rsidRPr="000D2BD8" w:rsidRDefault="00FA735E" w:rsidP="00FA735E">
      <w:pPr>
        <w:pStyle w:val="NoSpacing"/>
        <w:numPr>
          <w:ilvl w:val="0"/>
          <w:numId w:val="2"/>
        </w:numP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1E8DFE8B" wp14:editId="486AD743">
                <wp:simplePos x="0" y="0"/>
                <wp:positionH relativeFrom="column">
                  <wp:posOffset>3414395</wp:posOffset>
                </wp:positionH>
                <wp:positionV relativeFrom="paragraph">
                  <wp:posOffset>41910</wp:posOffset>
                </wp:positionV>
                <wp:extent cx="90805" cy="523875"/>
                <wp:effectExtent l="13970" t="13335" r="9525" b="571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e">
                          <a:avLst>
                            <a:gd name="adj1" fmla="val 480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8" style="position:absolute;margin-left:268.85pt;margin-top:3.3pt;width:7.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3MgAIAAC0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"/>
            </w:pict>
          </mc:Fallback>
        </mc:AlternateContent>
      </w:r>
      <w:r w:rsidRPr="000D2BD8">
        <w:rPr>
          <w:rFonts w:ascii="Times New Roman" w:hAnsi="Times New Roman"/>
          <w:b/>
          <w:sz w:val="24"/>
          <w:szCs w:val="24"/>
        </w:rPr>
        <w:t>STANBIC BANK OF UGANDA LIMITED</w:t>
      </w:r>
    </w:p>
    <w:p w:rsidR="00FA735E" w:rsidRPr="000D2BD8" w:rsidRDefault="00FA735E" w:rsidP="00FA735E">
      <w:pPr>
        <w:pStyle w:val="NoSpacing"/>
        <w:numPr>
          <w:ilvl w:val="0"/>
          <w:numId w:val="2"/>
        </w:numPr>
        <w:rPr>
          <w:rFonts w:ascii="Times New Roman" w:hAnsi="Times New Roman"/>
          <w:b/>
          <w:sz w:val="24"/>
          <w:szCs w:val="24"/>
        </w:rPr>
      </w:pPr>
      <w:r w:rsidRPr="000D2BD8">
        <w:rPr>
          <w:rFonts w:ascii="Times New Roman" w:hAnsi="Times New Roman"/>
          <w:b/>
          <w:sz w:val="24"/>
          <w:szCs w:val="24"/>
        </w:rPr>
        <w:t>WAMALA RICHARD                                                     …………………….. RESPONDENT</w:t>
      </w:r>
    </w:p>
    <w:p w:rsidR="00FA735E" w:rsidRPr="000D2BD8" w:rsidRDefault="00FA735E" w:rsidP="00FA735E">
      <w:pPr>
        <w:pStyle w:val="NoSpacing"/>
        <w:numPr>
          <w:ilvl w:val="0"/>
          <w:numId w:val="2"/>
        </w:numPr>
        <w:rPr>
          <w:rFonts w:ascii="Times New Roman" w:hAnsi="Times New Roman"/>
          <w:b/>
          <w:sz w:val="24"/>
          <w:szCs w:val="24"/>
        </w:rPr>
      </w:pPr>
      <w:r w:rsidRPr="000D2BD8">
        <w:rPr>
          <w:rFonts w:ascii="Times New Roman" w:hAnsi="Times New Roman"/>
          <w:b/>
          <w:sz w:val="24"/>
          <w:szCs w:val="24"/>
        </w:rPr>
        <w:t>COMMISSIONER OF LAND REGISTRATION</w:t>
      </w:r>
    </w:p>
    <w:p w:rsidR="00FA735E" w:rsidRPr="000D2BD8" w:rsidRDefault="00FA735E" w:rsidP="00FA735E">
      <w:pPr>
        <w:pStyle w:val="NoSpacing"/>
        <w:numPr>
          <w:ilvl w:val="0"/>
          <w:numId w:val="2"/>
        </w:numPr>
        <w:rPr>
          <w:rFonts w:ascii="Times New Roman" w:hAnsi="Times New Roman"/>
          <w:b/>
          <w:sz w:val="24"/>
          <w:szCs w:val="24"/>
        </w:rPr>
      </w:pPr>
      <w:r w:rsidRPr="000D2BD8">
        <w:rPr>
          <w:rFonts w:ascii="Times New Roman" w:hAnsi="Times New Roman"/>
          <w:b/>
          <w:sz w:val="24"/>
          <w:szCs w:val="24"/>
        </w:rPr>
        <w:t>KALWANA EMMANUEL</w:t>
      </w:r>
    </w:p>
    <w:p w:rsidR="00FA735E" w:rsidRPr="000D2BD8" w:rsidRDefault="00FA735E" w:rsidP="00FA735E">
      <w:pPr>
        <w:pStyle w:val="NoSpacing"/>
        <w:ind w:left="360"/>
        <w:rPr>
          <w:rFonts w:ascii="Times New Roman" w:hAnsi="Times New Roman"/>
          <w:b/>
          <w:sz w:val="24"/>
          <w:szCs w:val="24"/>
        </w:rPr>
      </w:pPr>
    </w:p>
    <w:p w:rsidR="00FA735E" w:rsidRPr="000D2BD8" w:rsidRDefault="00FA735E" w:rsidP="00FA735E">
      <w:pPr>
        <w:pStyle w:val="ListParagraph"/>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RULING</w:t>
      </w:r>
    </w:p>
    <w:p w:rsidR="00FA735E" w:rsidRPr="000D2BD8" w:rsidRDefault="00FA735E" w:rsidP="00FA735E">
      <w:pPr>
        <w:pStyle w:val="ListParagraph"/>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BEFORE HON LADY JUSTICE EVA K. LUSWATA</w:t>
      </w:r>
    </w:p>
    <w:p w:rsidR="00FA735E" w:rsidRPr="000D2BD8" w:rsidRDefault="00FA735E" w:rsidP="00FA735E">
      <w:pPr>
        <w:spacing w:line="360" w:lineRule="auto"/>
        <w:jc w:val="both"/>
        <w:rPr>
          <w:rFonts w:ascii="Times New Roman" w:hAnsi="Times New Roman"/>
          <w:sz w:val="24"/>
          <w:szCs w:val="24"/>
        </w:rPr>
      </w:pPr>
      <w:r w:rsidRPr="000D2BD8">
        <w:rPr>
          <w:rFonts w:ascii="Times New Roman" w:hAnsi="Times New Roman"/>
          <w:sz w:val="24"/>
          <w:szCs w:val="24"/>
        </w:rPr>
        <w:t>This is an application for a temporary Injunction presented under Order 41 r. 1, 3 &amp; 9 and S.5298 CPA.  The applicants seek to restrain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and 3</w:t>
      </w:r>
      <w:r w:rsidRPr="000D2BD8">
        <w:rPr>
          <w:rFonts w:ascii="Times New Roman" w:hAnsi="Times New Roman"/>
          <w:sz w:val="24"/>
          <w:szCs w:val="24"/>
          <w:vertAlign w:val="superscript"/>
        </w:rPr>
        <w:t>rd</w:t>
      </w:r>
      <w:r w:rsidRPr="000D2BD8">
        <w:rPr>
          <w:rFonts w:ascii="Times New Roman" w:hAnsi="Times New Roman"/>
          <w:sz w:val="24"/>
          <w:szCs w:val="24"/>
        </w:rPr>
        <w:t xml:space="preserve"> respondents from transferring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applicant’s land comprised in Block 405 Plot 40 </w:t>
      </w:r>
      <w:proofErr w:type="spellStart"/>
      <w:r w:rsidRPr="000D2BD8">
        <w:rPr>
          <w:rFonts w:ascii="Times New Roman" w:hAnsi="Times New Roman"/>
          <w:sz w:val="24"/>
          <w:szCs w:val="24"/>
        </w:rPr>
        <w:t>Bukasa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Wakiso</w:t>
      </w:r>
      <w:proofErr w:type="spellEnd"/>
      <w:r w:rsidRPr="000D2BD8">
        <w:rPr>
          <w:rFonts w:ascii="Times New Roman" w:hAnsi="Times New Roman"/>
          <w:sz w:val="24"/>
          <w:szCs w:val="24"/>
        </w:rPr>
        <w:t xml:space="preserve"> into the names of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or from disposing off of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applicant’s land comprised in Block 438 Plots 459 and 460 (hereinafter collectively referred to as the suit land, until disposal of the main suit, as well as costs. </w:t>
      </w:r>
    </w:p>
    <w:p w:rsidR="00FA735E" w:rsidRPr="000D2BD8" w:rsidRDefault="00FA735E" w:rsidP="00FA735E">
      <w:pPr>
        <w:spacing w:line="360" w:lineRule="auto"/>
        <w:jc w:val="both"/>
        <w:rPr>
          <w:rFonts w:ascii="Times New Roman" w:hAnsi="Times New Roman"/>
          <w:sz w:val="24"/>
          <w:szCs w:val="24"/>
        </w:rPr>
      </w:pPr>
      <w:r w:rsidRPr="000D2BD8">
        <w:rPr>
          <w:rFonts w:ascii="Times New Roman" w:hAnsi="Times New Roman"/>
          <w:sz w:val="24"/>
          <w:szCs w:val="24"/>
        </w:rPr>
        <w:t>The application was filed before the 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 was a party to the suit. Following my order in </w:t>
      </w:r>
      <w:proofErr w:type="spellStart"/>
      <w:r w:rsidRPr="000D2BD8">
        <w:rPr>
          <w:rFonts w:ascii="Times New Roman" w:hAnsi="Times New Roman"/>
          <w:sz w:val="24"/>
          <w:szCs w:val="24"/>
        </w:rPr>
        <w:t>Misc</w:t>
      </w:r>
      <w:proofErr w:type="spellEnd"/>
      <w:r w:rsidRPr="000D2BD8">
        <w:rPr>
          <w:rFonts w:ascii="Times New Roman" w:hAnsi="Times New Roman"/>
          <w:sz w:val="24"/>
          <w:szCs w:val="24"/>
        </w:rPr>
        <w:t xml:space="preserve"> Application 952/13, he was added and has since then, been represented by Mr. </w:t>
      </w:r>
      <w:proofErr w:type="spellStart"/>
      <w:r w:rsidRPr="000D2BD8">
        <w:rPr>
          <w:rFonts w:ascii="Times New Roman" w:hAnsi="Times New Roman"/>
          <w:sz w:val="24"/>
          <w:szCs w:val="24"/>
        </w:rPr>
        <w:t>Tebusweke</w:t>
      </w:r>
      <w:proofErr w:type="spellEnd"/>
      <w:r w:rsidRPr="000D2BD8">
        <w:rPr>
          <w:rFonts w:ascii="Times New Roman" w:hAnsi="Times New Roman"/>
          <w:sz w:val="24"/>
          <w:szCs w:val="24"/>
        </w:rPr>
        <w:t xml:space="preserve">. The applicants are represented by M/s </w:t>
      </w:r>
      <w:proofErr w:type="spellStart"/>
      <w:r w:rsidRPr="000D2BD8">
        <w:rPr>
          <w:rFonts w:ascii="Times New Roman" w:hAnsi="Times New Roman"/>
          <w:sz w:val="24"/>
          <w:szCs w:val="24"/>
        </w:rPr>
        <w:t>Kabega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Tumusiime</w:t>
      </w:r>
      <w:proofErr w:type="spellEnd"/>
      <w:r w:rsidRPr="000D2BD8">
        <w:rPr>
          <w:rFonts w:ascii="Times New Roman" w:hAnsi="Times New Roman"/>
          <w:sz w:val="24"/>
          <w:szCs w:val="24"/>
        </w:rPr>
        <w:t xml:space="preserve"> &amp; Co., Advocates. </w:t>
      </w:r>
    </w:p>
    <w:p w:rsidR="00FA735E" w:rsidRPr="000D2BD8" w:rsidRDefault="00FA735E" w:rsidP="00FA735E">
      <w:pPr>
        <w:spacing w:line="360" w:lineRule="auto"/>
        <w:jc w:val="both"/>
        <w:rPr>
          <w:rFonts w:ascii="Times New Roman" w:hAnsi="Times New Roman"/>
          <w:sz w:val="24"/>
          <w:szCs w:val="24"/>
        </w:rPr>
      </w:pPr>
      <w:r w:rsidRPr="000D2BD8">
        <w:rPr>
          <w:rFonts w:ascii="Times New Roman" w:hAnsi="Times New Roman"/>
          <w:sz w:val="24"/>
          <w:szCs w:val="24"/>
        </w:rPr>
        <w:t xml:space="preserve">The application is supported by the affidavit of Jackie </w:t>
      </w:r>
      <w:proofErr w:type="spellStart"/>
      <w:r w:rsidRPr="000D2BD8">
        <w:rPr>
          <w:rFonts w:ascii="Times New Roman" w:hAnsi="Times New Roman"/>
          <w:sz w:val="24"/>
          <w:szCs w:val="24"/>
        </w:rPr>
        <w:t>Bayonga</w:t>
      </w:r>
      <w:proofErr w:type="spellEnd"/>
      <w:r w:rsidRPr="000D2BD8">
        <w:rPr>
          <w:rFonts w:ascii="Times New Roman" w:hAnsi="Times New Roman"/>
          <w:sz w:val="24"/>
          <w:szCs w:val="24"/>
        </w:rPr>
        <w:t xml:space="preserve">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None of the respondents filed an affidavit in reply. Time lines were given for the parties to file their submissions. The applicants failed to comply with the time lines and on 7/10/</w:t>
      </w:r>
      <w:proofErr w:type="gramStart"/>
      <w:r w:rsidRPr="000D2BD8">
        <w:rPr>
          <w:rFonts w:ascii="Times New Roman" w:hAnsi="Times New Roman"/>
          <w:sz w:val="24"/>
          <w:szCs w:val="24"/>
        </w:rPr>
        <w:t>15,</w:t>
      </w:r>
      <w:proofErr w:type="gramEnd"/>
      <w:r w:rsidRPr="000D2BD8">
        <w:rPr>
          <w:rFonts w:ascii="Times New Roman" w:hAnsi="Times New Roman"/>
          <w:sz w:val="24"/>
          <w:szCs w:val="24"/>
        </w:rPr>
        <w:t xml:space="preserve"> I ruled that a decision would be made on the application upon their pleadings.  Although submissions were filed for the 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 I noted that much of what was stated were matters of fact.  Since no </w:t>
      </w:r>
      <w:r w:rsidRPr="000D2BD8">
        <w:rPr>
          <w:rFonts w:ascii="Times New Roman" w:hAnsi="Times New Roman"/>
          <w:sz w:val="24"/>
          <w:szCs w:val="24"/>
        </w:rPr>
        <w:lastRenderedPageBreak/>
        <w:t>affidavit evidence was presented for the 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 to back up those submissions, it is deemed to be evidence from the bar.  I thereby choose not to consider it in this ruling. </w:t>
      </w:r>
    </w:p>
    <w:p w:rsidR="00FA735E" w:rsidRPr="000D2BD8" w:rsidRDefault="00FA735E" w:rsidP="00FA735E">
      <w:pPr>
        <w:pStyle w:val="NoSpacing"/>
        <w:spacing w:line="360" w:lineRule="auto"/>
        <w:jc w:val="both"/>
        <w:rPr>
          <w:rFonts w:ascii="Times New Roman" w:hAnsi="Times New Roman"/>
          <w:sz w:val="24"/>
          <w:szCs w:val="24"/>
        </w:rPr>
      </w:pPr>
      <w:r w:rsidRPr="000D2BD8">
        <w:rPr>
          <w:rFonts w:ascii="Times New Roman" w:hAnsi="Times New Roman"/>
          <w:sz w:val="24"/>
          <w:szCs w:val="24"/>
        </w:rPr>
        <w:t>The grounds of the application are well enumerated and I will not repeat them here. In a nutshell, the applicants argue that there is a danger that the transfer and registration of the suit land in favor of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and 4</w:t>
      </w:r>
      <w:r w:rsidRPr="000D2BD8">
        <w:rPr>
          <w:rFonts w:ascii="Times New Roman" w:hAnsi="Times New Roman"/>
          <w:sz w:val="24"/>
          <w:szCs w:val="24"/>
          <w:vertAlign w:val="superscript"/>
        </w:rPr>
        <w:t>th</w:t>
      </w:r>
      <w:r w:rsidRPr="000D2BD8">
        <w:rPr>
          <w:rFonts w:ascii="Times New Roman" w:hAnsi="Times New Roman"/>
          <w:sz w:val="24"/>
          <w:szCs w:val="24"/>
        </w:rPr>
        <w:t>respondents is imminent and ought to be prevented until disposal of the main suit. The supporting affidavit expands on those grounds.</w:t>
      </w:r>
    </w:p>
    <w:p w:rsidR="00FA735E" w:rsidRPr="000D2BD8" w:rsidRDefault="00FA735E" w:rsidP="00FA735E">
      <w:pPr>
        <w:pStyle w:val="NoSpacing"/>
        <w:spacing w:line="360" w:lineRule="auto"/>
        <w:jc w:val="both"/>
        <w:rPr>
          <w:rFonts w:ascii="Times New Roman" w:hAnsi="Times New Roman"/>
          <w:sz w:val="24"/>
          <w:szCs w:val="24"/>
        </w:rPr>
      </w:pPr>
    </w:p>
    <w:p w:rsidR="00FA735E" w:rsidRPr="000D2BD8" w:rsidRDefault="00FA735E" w:rsidP="00FA735E">
      <w:pPr>
        <w:pStyle w:val="NoSpacing"/>
        <w:spacing w:line="360" w:lineRule="auto"/>
        <w:jc w:val="both"/>
        <w:rPr>
          <w:rFonts w:ascii="Times New Roman" w:hAnsi="Times New Roman"/>
          <w:b/>
          <w:sz w:val="24"/>
          <w:szCs w:val="24"/>
        </w:rPr>
      </w:pPr>
      <w:r w:rsidRPr="000D2BD8">
        <w:rPr>
          <w:rFonts w:ascii="Times New Roman" w:hAnsi="Times New Roman"/>
          <w:sz w:val="24"/>
          <w:szCs w:val="24"/>
        </w:rPr>
        <w:t xml:space="preserve"> The law on temporary injunctions is contained in </w:t>
      </w:r>
      <w:r w:rsidRPr="000D2BD8">
        <w:rPr>
          <w:rFonts w:ascii="Times New Roman" w:hAnsi="Times New Roman"/>
          <w:b/>
          <w:sz w:val="24"/>
          <w:szCs w:val="24"/>
        </w:rPr>
        <w:t xml:space="preserve">Order 41 rules 1(a) </w:t>
      </w:r>
      <w:r w:rsidRPr="000D2BD8">
        <w:rPr>
          <w:rFonts w:ascii="Times New Roman" w:hAnsi="Times New Roman"/>
          <w:sz w:val="24"/>
          <w:szCs w:val="24"/>
        </w:rPr>
        <w:t>of the</w:t>
      </w:r>
      <w:r w:rsidRPr="000D2BD8">
        <w:rPr>
          <w:rFonts w:ascii="Times New Roman" w:hAnsi="Times New Roman"/>
          <w:b/>
          <w:sz w:val="24"/>
          <w:szCs w:val="24"/>
        </w:rPr>
        <w:t xml:space="preserve"> Civil Procedure </w:t>
      </w:r>
      <w:proofErr w:type="spellStart"/>
      <w:r w:rsidRPr="000D2BD8">
        <w:rPr>
          <w:rFonts w:ascii="Times New Roman" w:hAnsi="Times New Roman"/>
          <w:b/>
          <w:sz w:val="24"/>
          <w:szCs w:val="24"/>
        </w:rPr>
        <w:t>Rules</w:t>
      </w:r>
      <w:r w:rsidRPr="000D2BD8">
        <w:rPr>
          <w:rFonts w:ascii="Times New Roman" w:hAnsi="Times New Roman"/>
          <w:sz w:val="24"/>
          <w:szCs w:val="24"/>
        </w:rPr>
        <w:t>and</w:t>
      </w:r>
      <w:proofErr w:type="spellEnd"/>
      <w:r w:rsidRPr="000D2BD8">
        <w:rPr>
          <w:rFonts w:ascii="Times New Roman" w:hAnsi="Times New Roman"/>
          <w:sz w:val="24"/>
          <w:szCs w:val="24"/>
        </w:rPr>
        <w:t xml:space="preserve"> the principles governing the grant of a temporary injunction are well settled In the case of </w:t>
      </w:r>
      <w:r w:rsidRPr="000D2BD8">
        <w:rPr>
          <w:rFonts w:ascii="Times New Roman" w:hAnsi="Times New Roman"/>
          <w:b/>
          <w:sz w:val="24"/>
          <w:szCs w:val="24"/>
        </w:rPr>
        <w:t xml:space="preserve">American Cyanamid Co.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Ethicon Ltd [1975] AC 396</w:t>
      </w:r>
      <w:r w:rsidRPr="000D2BD8">
        <w:rPr>
          <w:rFonts w:ascii="Times New Roman" w:hAnsi="Times New Roman"/>
          <w:sz w:val="24"/>
          <w:szCs w:val="24"/>
        </w:rPr>
        <w:t xml:space="preserve"> Lord </w:t>
      </w:r>
      <w:proofErr w:type="spellStart"/>
      <w:r w:rsidRPr="000D2BD8">
        <w:rPr>
          <w:rFonts w:ascii="Times New Roman" w:hAnsi="Times New Roman"/>
          <w:sz w:val="24"/>
          <w:szCs w:val="24"/>
        </w:rPr>
        <w:t>Diplock</w:t>
      </w:r>
      <w:proofErr w:type="spellEnd"/>
      <w:r w:rsidRPr="000D2BD8">
        <w:rPr>
          <w:rFonts w:ascii="Times New Roman" w:hAnsi="Times New Roman"/>
          <w:sz w:val="24"/>
          <w:szCs w:val="24"/>
        </w:rPr>
        <w:t xml:space="preserve"> laid down guidelines for the grant of temporary injunctions that have been followed in the Ugandan cases of </w:t>
      </w:r>
      <w:r w:rsidRPr="000D2BD8">
        <w:rPr>
          <w:rFonts w:ascii="Times New Roman" w:hAnsi="Times New Roman"/>
          <w:b/>
          <w:sz w:val="24"/>
          <w:szCs w:val="24"/>
        </w:rPr>
        <w:t xml:space="preserve">Francis </w:t>
      </w:r>
      <w:proofErr w:type="spellStart"/>
      <w:r w:rsidRPr="000D2BD8">
        <w:rPr>
          <w:rFonts w:ascii="Times New Roman" w:hAnsi="Times New Roman"/>
          <w:b/>
          <w:sz w:val="24"/>
          <w:szCs w:val="24"/>
        </w:rPr>
        <w:t>Babumba</w:t>
      </w:r>
      <w:proofErr w:type="spellEnd"/>
      <w:r w:rsidRPr="000D2BD8">
        <w:rPr>
          <w:rFonts w:ascii="Times New Roman" w:hAnsi="Times New Roman"/>
          <w:b/>
          <w:sz w:val="24"/>
          <w:szCs w:val="24"/>
        </w:rPr>
        <w:t xml:space="preserve"> and 2 others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Erisa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Bunjo</w:t>
      </w:r>
      <w:proofErr w:type="spellEnd"/>
      <w:r w:rsidRPr="000D2BD8">
        <w:rPr>
          <w:rFonts w:ascii="Times New Roman" w:hAnsi="Times New Roman"/>
          <w:b/>
          <w:sz w:val="24"/>
          <w:szCs w:val="24"/>
        </w:rPr>
        <w:t xml:space="preserve"> HCCS No. 697 of 1999</w:t>
      </w:r>
      <w:r w:rsidRPr="000D2BD8">
        <w:rPr>
          <w:rFonts w:ascii="Times New Roman" w:hAnsi="Times New Roman"/>
          <w:sz w:val="24"/>
          <w:szCs w:val="24"/>
        </w:rPr>
        <w:t xml:space="preserve"> and </w:t>
      </w:r>
      <w:r w:rsidRPr="000D2BD8">
        <w:rPr>
          <w:rFonts w:ascii="Times New Roman" w:hAnsi="Times New Roman"/>
          <w:b/>
          <w:sz w:val="24"/>
          <w:szCs w:val="24"/>
        </w:rPr>
        <w:t xml:space="preserve">Robert </w:t>
      </w:r>
      <w:proofErr w:type="spellStart"/>
      <w:r w:rsidRPr="000D2BD8">
        <w:rPr>
          <w:rFonts w:ascii="Times New Roman" w:hAnsi="Times New Roman"/>
          <w:b/>
          <w:sz w:val="24"/>
          <w:szCs w:val="24"/>
        </w:rPr>
        <w:t>Kavuma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M/s Hotel International SCCA No.8 of 1990,  which are  as follows:-</w:t>
      </w:r>
    </w:p>
    <w:p w:rsidR="00FA735E" w:rsidRPr="000D2BD8" w:rsidRDefault="00FA735E" w:rsidP="00FA735E">
      <w:pPr>
        <w:pStyle w:val="NoSpacing"/>
        <w:numPr>
          <w:ilvl w:val="0"/>
          <w:numId w:val="3"/>
        </w:numPr>
        <w:rPr>
          <w:rFonts w:ascii="Times New Roman" w:hAnsi="Times New Roman"/>
          <w:sz w:val="24"/>
          <w:szCs w:val="24"/>
        </w:rPr>
      </w:pPr>
      <w:r w:rsidRPr="000D2BD8">
        <w:rPr>
          <w:rFonts w:ascii="Times New Roman" w:hAnsi="Times New Roman"/>
          <w:sz w:val="24"/>
          <w:szCs w:val="24"/>
        </w:rPr>
        <w:t>The applicant has to show that they have a prima facie case with a probability of success in the main suit.</w:t>
      </w:r>
    </w:p>
    <w:p w:rsidR="00FA735E" w:rsidRPr="000D2BD8" w:rsidRDefault="00FA735E" w:rsidP="00FA735E">
      <w:pPr>
        <w:pStyle w:val="NoSpacing"/>
        <w:ind w:left="360"/>
        <w:rPr>
          <w:rFonts w:ascii="Times New Roman" w:hAnsi="Times New Roman"/>
          <w:sz w:val="24"/>
          <w:szCs w:val="24"/>
        </w:rPr>
      </w:pPr>
    </w:p>
    <w:p w:rsidR="00FA735E" w:rsidRPr="000D2BD8" w:rsidRDefault="00FA735E" w:rsidP="00FA735E">
      <w:pPr>
        <w:pStyle w:val="NoSpacing"/>
        <w:numPr>
          <w:ilvl w:val="0"/>
          <w:numId w:val="3"/>
        </w:numPr>
        <w:rPr>
          <w:rFonts w:ascii="Times New Roman" w:hAnsi="Times New Roman"/>
          <w:sz w:val="24"/>
          <w:szCs w:val="24"/>
        </w:rPr>
      </w:pPr>
      <w:r w:rsidRPr="000D2BD8">
        <w:rPr>
          <w:rFonts w:ascii="Times New Roman" w:hAnsi="Times New Roman"/>
          <w:sz w:val="24"/>
          <w:szCs w:val="24"/>
        </w:rPr>
        <w:t>The applicant has to show that he is likely to suffer irreparable damage if the injunction is denied.</w:t>
      </w:r>
    </w:p>
    <w:p w:rsidR="00FA735E" w:rsidRPr="000D2BD8" w:rsidRDefault="00FA735E" w:rsidP="00FA735E">
      <w:pPr>
        <w:pStyle w:val="NoSpacing"/>
        <w:rPr>
          <w:rFonts w:ascii="Times New Roman" w:hAnsi="Times New Roman"/>
          <w:sz w:val="24"/>
          <w:szCs w:val="24"/>
        </w:rPr>
      </w:pPr>
    </w:p>
    <w:p w:rsidR="00FA735E" w:rsidRPr="000D2BD8" w:rsidRDefault="00FA735E" w:rsidP="00FA735E">
      <w:pPr>
        <w:pStyle w:val="NoSpacing"/>
        <w:numPr>
          <w:ilvl w:val="0"/>
          <w:numId w:val="3"/>
        </w:numPr>
        <w:rPr>
          <w:rFonts w:ascii="Times New Roman" w:hAnsi="Times New Roman"/>
          <w:sz w:val="24"/>
          <w:szCs w:val="24"/>
        </w:rPr>
      </w:pPr>
      <w:r w:rsidRPr="000D2BD8">
        <w:rPr>
          <w:rFonts w:ascii="Times New Roman" w:hAnsi="Times New Roman"/>
          <w:sz w:val="24"/>
          <w:szCs w:val="24"/>
        </w:rPr>
        <w:t>If court is in doubt as to the above considerations, it will decide the application on a balance of convenience.</w:t>
      </w:r>
    </w:p>
    <w:p w:rsidR="00FA735E" w:rsidRPr="000D2BD8" w:rsidRDefault="00FA735E" w:rsidP="00FA735E">
      <w:pPr>
        <w:pStyle w:val="ListParagraph"/>
        <w:spacing w:line="360" w:lineRule="auto"/>
        <w:jc w:val="both"/>
        <w:rPr>
          <w:rFonts w:ascii="Times New Roman" w:hAnsi="Times New Roman" w:cs="Times New Roman"/>
          <w:sz w:val="24"/>
          <w:szCs w:val="24"/>
        </w:rPr>
      </w:pPr>
    </w:p>
    <w:p w:rsidR="00FA735E" w:rsidRPr="000D2BD8" w:rsidRDefault="00FA735E" w:rsidP="00FA735E">
      <w:pPr>
        <w:pStyle w:val="ListParagraph"/>
        <w:spacing w:line="360" w:lineRule="auto"/>
        <w:ind w:left="0"/>
        <w:jc w:val="both"/>
        <w:rPr>
          <w:rFonts w:ascii="Times New Roman" w:hAnsi="Times New Roman" w:cs="Times New Roman"/>
          <w:b/>
          <w:sz w:val="24"/>
          <w:szCs w:val="24"/>
        </w:rPr>
      </w:pPr>
      <w:r w:rsidRPr="000D2BD8">
        <w:rPr>
          <w:rFonts w:ascii="Times New Roman" w:hAnsi="Times New Roman" w:cs="Times New Roman"/>
          <w:sz w:val="24"/>
          <w:szCs w:val="24"/>
        </w:rPr>
        <w:t xml:space="preserve">In considering the above principles, the court should also bear in mind that  the court should not attempt to resolve issues related to the main suit: See: </w:t>
      </w:r>
      <w:r w:rsidRPr="000D2BD8">
        <w:rPr>
          <w:rFonts w:ascii="Times New Roman" w:hAnsi="Times New Roman" w:cs="Times New Roman"/>
          <w:b/>
          <w:sz w:val="24"/>
          <w:szCs w:val="24"/>
        </w:rPr>
        <w:t xml:space="preserve">Prof. Peter Anyang </w:t>
      </w:r>
      <w:proofErr w:type="spellStart"/>
      <w:r w:rsidRPr="000D2BD8">
        <w:rPr>
          <w:rFonts w:ascii="Times New Roman" w:hAnsi="Times New Roman" w:cs="Times New Roman"/>
          <w:b/>
          <w:sz w:val="24"/>
          <w:szCs w:val="24"/>
        </w:rPr>
        <w:t>Nyong’O</w:t>
      </w:r>
      <w:proofErr w:type="spellEnd"/>
      <w:r w:rsidRPr="000D2BD8">
        <w:rPr>
          <w:rFonts w:ascii="Times New Roman" w:hAnsi="Times New Roman" w:cs="Times New Roman"/>
          <w:b/>
          <w:sz w:val="24"/>
          <w:szCs w:val="24"/>
        </w:rPr>
        <w:t xml:space="preserve"> &amp; Others </w:t>
      </w:r>
      <w:proofErr w:type="spellStart"/>
      <w:r w:rsidRPr="000D2BD8">
        <w:rPr>
          <w:rFonts w:ascii="Times New Roman" w:hAnsi="Times New Roman" w:cs="Times New Roman"/>
          <w:b/>
          <w:sz w:val="24"/>
          <w:szCs w:val="24"/>
        </w:rPr>
        <w:t>Vs</w:t>
      </w:r>
      <w:proofErr w:type="spellEnd"/>
      <w:r w:rsidRPr="000D2BD8">
        <w:rPr>
          <w:rFonts w:ascii="Times New Roman" w:hAnsi="Times New Roman" w:cs="Times New Roman"/>
          <w:b/>
          <w:sz w:val="24"/>
          <w:szCs w:val="24"/>
        </w:rPr>
        <w:t xml:space="preserve"> The Attorney General of Kenya &amp; Others; East African Court of Justice Case Ref. No. 1 of 2006 (unreported)</w:t>
      </w:r>
    </w:p>
    <w:p w:rsidR="00FA735E" w:rsidRPr="000D2BD8" w:rsidRDefault="00FA735E" w:rsidP="00FA735E">
      <w:pPr>
        <w:pStyle w:val="ListParagraph"/>
        <w:spacing w:line="360" w:lineRule="auto"/>
        <w:ind w:left="0"/>
        <w:jc w:val="both"/>
        <w:rPr>
          <w:rFonts w:ascii="Times New Roman" w:hAnsi="Times New Roman" w:cs="Times New Roman"/>
          <w:sz w:val="24"/>
          <w:szCs w:val="24"/>
        </w:rPr>
      </w:pPr>
    </w:p>
    <w:p w:rsidR="00FA735E" w:rsidRPr="000D2BD8" w:rsidRDefault="00FA735E" w:rsidP="00FA735E">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It is not in dispute that the applicants have filed HCCS No.350 of 2013 against the respondents and it is from that suit that this application originates.  In that suit, the applicants as owners and mortgagors of the suit land contest its sale and transfer by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as mortgagee on account of a mortgage they argue was not properly discharged by the latter or discharged in bad faith, illegally and with fraud.</w:t>
      </w:r>
    </w:p>
    <w:p w:rsidR="00FA735E" w:rsidRPr="000D2BD8" w:rsidRDefault="00FA735E" w:rsidP="00FA735E">
      <w:pPr>
        <w:pStyle w:val="ListParagraph"/>
        <w:spacing w:line="360" w:lineRule="auto"/>
        <w:ind w:left="0"/>
        <w:jc w:val="both"/>
        <w:rPr>
          <w:rFonts w:ascii="Times New Roman" w:hAnsi="Times New Roman" w:cs="Times New Roman"/>
          <w:sz w:val="24"/>
          <w:szCs w:val="24"/>
        </w:rPr>
      </w:pPr>
    </w:p>
    <w:p w:rsidR="00FA735E" w:rsidRPr="000D2BD8" w:rsidRDefault="00FA735E" w:rsidP="00FA735E">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lastRenderedPageBreak/>
        <w:t>In her affidavit in support of the application, the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applicant recounts much of the contents of the plaint and states that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extended to the applicants’ an overdraft, guarantee and exposure facilities to the tune of </w:t>
      </w:r>
      <w:proofErr w:type="spellStart"/>
      <w:r w:rsidRPr="000D2BD8">
        <w:rPr>
          <w:rFonts w:ascii="Times New Roman" w:hAnsi="Times New Roman" w:cs="Times New Roman"/>
          <w:sz w:val="24"/>
          <w:szCs w:val="24"/>
        </w:rPr>
        <w:t>Shs</w:t>
      </w:r>
      <w:proofErr w:type="spellEnd"/>
      <w:r w:rsidRPr="000D2BD8">
        <w:rPr>
          <w:rFonts w:ascii="Times New Roman" w:hAnsi="Times New Roman" w:cs="Times New Roman"/>
          <w:sz w:val="24"/>
          <w:szCs w:val="24"/>
        </w:rPr>
        <w:t>. 3 billion to finance several business projects. The suit land was offered and accepted as the security, a debenture was placed against the assets of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applicant and several personal guarantees made by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applicants respectively. There was default by the applicants, but without notice or considering the alternative remedies under the debenture or in receivership,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applicant proceeded to sell the suit land to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respondent for a paltry sum.   </w:t>
      </w:r>
      <w:proofErr w:type="gramStart"/>
      <w:r w:rsidRPr="000D2BD8">
        <w:rPr>
          <w:rFonts w:ascii="Times New Roman" w:hAnsi="Times New Roman" w:cs="Times New Roman"/>
          <w:sz w:val="24"/>
          <w:szCs w:val="24"/>
        </w:rPr>
        <w:t>That there were then subsequent transfers to the 4</w:t>
      </w:r>
      <w:r w:rsidRPr="000D2BD8">
        <w:rPr>
          <w:rFonts w:ascii="Times New Roman" w:hAnsi="Times New Roman" w:cs="Times New Roman"/>
          <w:sz w:val="24"/>
          <w:szCs w:val="24"/>
          <w:vertAlign w:val="superscript"/>
        </w:rPr>
        <w:t>th</w:t>
      </w:r>
      <w:r w:rsidRPr="000D2BD8">
        <w:rPr>
          <w:rFonts w:ascii="Times New Roman" w:hAnsi="Times New Roman" w:cs="Times New Roman"/>
          <w:sz w:val="24"/>
          <w:szCs w:val="24"/>
        </w:rPr>
        <w:t>respondent.</w:t>
      </w:r>
      <w:proofErr w:type="gramEnd"/>
      <w:r w:rsidRPr="000D2BD8">
        <w:rPr>
          <w:rFonts w:ascii="Times New Roman" w:hAnsi="Times New Roman" w:cs="Times New Roman"/>
          <w:sz w:val="24"/>
          <w:szCs w:val="24"/>
        </w:rPr>
        <w:t xml:space="preserve"> The applicants deem the sale and transfers fraudulent, null and void. They also complained against the failure by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to account for the rent collected from the property belonging to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applicant.  </w:t>
      </w:r>
    </w:p>
    <w:p w:rsidR="00FA735E" w:rsidRPr="000D2BD8" w:rsidRDefault="00FA735E" w:rsidP="00FA735E">
      <w:pPr>
        <w:pStyle w:val="ListParagraph"/>
        <w:spacing w:line="360" w:lineRule="auto"/>
        <w:ind w:left="0"/>
        <w:jc w:val="both"/>
        <w:rPr>
          <w:rFonts w:ascii="Times New Roman" w:hAnsi="Times New Roman" w:cs="Times New Roman"/>
          <w:sz w:val="24"/>
          <w:szCs w:val="24"/>
        </w:rPr>
      </w:pPr>
    </w:p>
    <w:p w:rsidR="00FA735E" w:rsidRPr="000D2BD8" w:rsidRDefault="00FA735E" w:rsidP="00FA735E">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As previous authorities have </w:t>
      </w:r>
      <w:proofErr w:type="spellStart"/>
      <w:r w:rsidRPr="000D2BD8">
        <w:rPr>
          <w:rFonts w:ascii="Times New Roman" w:hAnsi="Times New Roman" w:cs="Times New Roman"/>
          <w:sz w:val="24"/>
          <w:szCs w:val="24"/>
        </w:rPr>
        <w:t>shown</w:t>
      </w:r>
      <w:proofErr w:type="gramStart"/>
      <w:r w:rsidRPr="000D2BD8">
        <w:rPr>
          <w:rFonts w:ascii="Times New Roman" w:hAnsi="Times New Roman" w:cs="Times New Roman"/>
          <w:sz w:val="24"/>
          <w:szCs w:val="24"/>
        </w:rPr>
        <w:t>,</w:t>
      </w:r>
      <w:r w:rsidRPr="000D2BD8">
        <w:rPr>
          <w:rFonts w:ascii="Times New Roman" w:hAnsi="Times New Roman" w:cs="Times New Roman"/>
          <w:i/>
          <w:sz w:val="24"/>
          <w:szCs w:val="24"/>
        </w:rPr>
        <w:t>aprima</w:t>
      </w:r>
      <w:proofErr w:type="spellEnd"/>
      <w:proofErr w:type="gramEnd"/>
      <w:r w:rsidRPr="000D2BD8">
        <w:rPr>
          <w:rFonts w:ascii="Times New Roman" w:hAnsi="Times New Roman" w:cs="Times New Roman"/>
          <w:i/>
          <w:sz w:val="24"/>
          <w:szCs w:val="24"/>
        </w:rPr>
        <w:t xml:space="preserve"> facie</w:t>
      </w:r>
      <w:r w:rsidRPr="000D2BD8">
        <w:rPr>
          <w:rFonts w:ascii="Times New Roman" w:hAnsi="Times New Roman" w:cs="Times New Roman"/>
          <w:sz w:val="24"/>
          <w:szCs w:val="24"/>
        </w:rPr>
        <w:t xml:space="preserve"> case is not necessarily a tight case. It is a case in which the court need only be satisfied that there is a serious question to be tried. </w:t>
      </w:r>
      <w:proofErr w:type="spellStart"/>
      <w:r w:rsidRPr="000D2BD8">
        <w:rPr>
          <w:rFonts w:ascii="Times New Roman" w:hAnsi="Times New Roman" w:cs="Times New Roman"/>
          <w:sz w:val="24"/>
          <w:szCs w:val="24"/>
        </w:rPr>
        <w:t>Wambuzi</w:t>
      </w:r>
      <w:proofErr w:type="spellEnd"/>
      <w:r w:rsidRPr="000D2BD8">
        <w:rPr>
          <w:rFonts w:ascii="Times New Roman" w:hAnsi="Times New Roman" w:cs="Times New Roman"/>
          <w:sz w:val="24"/>
          <w:szCs w:val="24"/>
        </w:rPr>
        <w:t xml:space="preserve"> C J (as he then was) in the case of </w:t>
      </w:r>
      <w:r w:rsidRPr="000D2BD8">
        <w:rPr>
          <w:rFonts w:ascii="Times New Roman" w:hAnsi="Times New Roman" w:cs="Times New Roman"/>
          <w:b/>
          <w:sz w:val="24"/>
          <w:szCs w:val="24"/>
        </w:rPr>
        <w:t xml:space="preserve">Robert </w:t>
      </w:r>
      <w:proofErr w:type="spellStart"/>
      <w:r w:rsidRPr="000D2BD8">
        <w:rPr>
          <w:rFonts w:ascii="Times New Roman" w:hAnsi="Times New Roman" w:cs="Times New Roman"/>
          <w:b/>
          <w:sz w:val="24"/>
          <w:szCs w:val="24"/>
        </w:rPr>
        <w:t>Kavuma</w:t>
      </w:r>
      <w:proofErr w:type="spellEnd"/>
      <w:r w:rsidRPr="000D2BD8">
        <w:rPr>
          <w:rFonts w:ascii="Times New Roman" w:hAnsi="Times New Roman" w:cs="Times New Roman"/>
          <w:b/>
          <w:sz w:val="24"/>
          <w:szCs w:val="24"/>
        </w:rPr>
        <w:t xml:space="preserve"> (supra) </w:t>
      </w:r>
      <w:r w:rsidRPr="000D2BD8">
        <w:rPr>
          <w:rFonts w:ascii="Times New Roman" w:hAnsi="Times New Roman" w:cs="Times New Roman"/>
          <w:sz w:val="24"/>
          <w:szCs w:val="24"/>
        </w:rPr>
        <w:t xml:space="preserve">explained it well when he stated that the applicant is required at this stage of the  trial to show a prima facie case and a probability of success </w:t>
      </w:r>
      <w:r w:rsidRPr="000D2BD8">
        <w:rPr>
          <w:rFonts w:ascii="Times New Roman" w:hAnsi="Times New Roman" w:cs="Times New Roman"/>
          <w:sz w:val="24"/>
          <w:szCs w:val="24"/>
          <w:u w:val="single"/>
        </w:rPr>
        <w:t>but not</w:t>
      </w:r>
      <w:r w:rsidRPr="000D2BD8">
        <w:rPr>
          <w:rFonts w:ascii="Times New Roman" w:hAnsi="Times New Roman" w:cs="Times New Roman"/>
          <w:sz w:val="24"/>
          <w:szCs w:val="24"/>
        </w:rPr>
        <w:t xml:space="preserve"> success. </w:t>
      </w:r>
      <w:proofErr w:type="gramStart"/>
      <w:r w:rsidRPr="000D2BD8">
        <w:rPr>
          <w:rFonts w:ascii="Times New Roman" w:hAnsi="Times New Roman" w:cs="Times New Roman"/>
          <w:sz w:val="24"/>
          <w:szCs w:val="24"/>
        </w:rPr>
        <w:t>(Emphasis mine).</w:t>
      </w:r>
      <w:proofErr w:type="gramEnd"/>
      <w:r w:rsidRPr="000D2BD8">
        <w:rPr>
          <w:rFonts w:ascii="Times New Roman" w:hAnsi="Times New Roman" w:cs="Times New Roman"/>
          <w:sz w:val="24"/>
          <w:szCs w:val="24"/>
        </w:rPr>
        <w:t xml:space="preserve"> In my considered view, and from the facts as briefly related above, the amended plaint raises serious issues that merit a trial. In this application, there was no rebuttal against the existence of the loan facility and the fact that the suit land was sold by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to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respondent to discharge the mortgage.  In the main suit, the applicants would still need to prove their claim but for now</w:t>
      </w:r>
      <w:proofErr w:type="gramStart"/>
      <w:r w:rsidRPr="000D2BD8">
        <w:rPr>
          <w:rFonts w:ascii="Times New Roman" w:hAnsi="Times New Roman" w:cs="Times New Roman"/>
          <w:sz w:val="24"/>
          <w:szCs w:val="24"/>
        </w:rPr>
        <w:t xml:space="preserve">,  </w:t>
      </w:r>
      <w:proofErr w:type="spellStart"/>
      <w:r w:rsidRPr="000D2BD8">
        <w:rPr>
          <w:rFonts w:ascii="Times New Roman" w:hAnsi="Times New Roman" w:cs="Times New Roman"/>
          <w:sz w:val="24"/>
          <w:szCs w:val="24"/>
        </w:rPr>
        <w:t>a</w:t>
      </w:r>
      <w:r w:rsidRPr="000D2BD8">
        <w:rPr>
          <w:rFonts w:ascii="Times New Roman" w:hAnsi="Times New Roman" w:cs="Times New Roman"/>
          <w:i/>
          <w:sz w:val="24"/>
          <w:szCs w:val="24"/>
        </w:rPr>
        <w:t>prima</w:t>
      </w:r>
      <w:proofErr w:type="spellEnd"/>
      <w:proofErr w:type="gramEnd"/>
      <w:r w:rsidRPr="000D2BD8">
        <w:rPr>
          <w:rFonts w:ascii="Times New Roman" w:hAnsi="Times New Roman" w:cs="Times New Roman"/>
          <w:i/>
          <w:sz w:val="24"/>
          <w:szCs w:val="24"/>
        </w:rPr>
        <w:t xml:space="preserve"> facie</w:t>
      </w:r>
      <w:r w:rsidRPr="000D2BD8">
        <w:rPr>
          <w:rFonts w:ascii="Times New Roman" w:hAnsi="Times New Roman" w:cs="Times New Roman"/>
          <w:sz w:val="24"/>
          <w:szCs w:val="24"/>
        </w:rPr>
        <w:t xml:space="preserve"> case has been raised.</w:t>
      </w:r>
    </w:p>
    <w:p w:rsidR="00FA735E" w:rsidRPr="000D2BD8" w:rsidRDefault="00FA735E" w:rsidP="00FA735E">
      <w:pPr>
        <w:pStyle w:val="ListParagraph"/>
        <w:spacing w:line="360" w:lineRule="auto"/>
        <w:ind w:left="0"/>
        <w:jc w:val="both"/>
        <w:rPr>
          <w:rFonts w:ascii="Times New Roman" w:hAnsi="Times New Roman" w:cs="Times New Roman"/>
          <w:sz w:val="24"/>
          <w:szCs w:val="24"/>
        </w:rPr>
      </w:pPr>
    </w:p>
    <w:p w:rsidR="00FA735E" w:rsidRPr="000D2BD8" w:rsidRDefault="00FA735E" w:rsidP="00FA735E">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Beyond raising the </w:t>
      </w:r>
      <w:r w:rsidRPr="000D2BD8">
        <w:rPr>
          <w:rFonts w:ascii="Times New Roman" w:hAnsi="Times New Roman" w:cs="Times New Roman"/>
          <w:i/>
          <w:sz w:val="24"/>
          <w:szCs w:val="24"/>
        </w:rPr>
        <w:t>prima facie</w:t>
      </w:r>
      <w:r w:rsidRPr="000D2BD8">
        <w:rPr>
          <w:rFonts w:ascii="Times New Roman" w:hAnsi="Times New Roman" w:cs="Times New Roman"/>
          <w:sz w:val="24"/>
          <w:szCs w:val="24"/>
        </w:rPr>
        <w:t xml:space="preserve"> case, I note that in both the application and main suit, the applicants concede to the fact that the suit property belonging to the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applicant has already been transferred to the 4</w:t>
      </w:r>
      <w:r w:rsidRPr="000D2BD8">
        <w:rPr>
          <w:rFonts w:ascii="Times New Roman" w:hAnsi="Times New Roman" w:cs="Times New Roman"/>
          <w:sz w:val="24"/>
          <w:szCs w:val="24"/>
          <w:vertAlign w:val="superscript"/>
        </w:rPr>
        <w:t>th</w:t>
      </w:r>
      <w:r w:rsidRPr="000D2BD8">
        <w:rPr>
          <w:rFonts w:ascii="Times New Roman" w:hAnsi="Times New Roman" w:cs="Times New Roman"/>
          <w:sz w:val="24"/>
          <w:szCs w:val="24"/>
        </w:rPr>
        <w:t>respondent. The facts in paragraphs 8 (d) and particulars of fraud in the amended plaint depict that much. In paragraph 13, the plaintiffs/applicants seek an order directing the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defendant/respondent to rectify the register to reinstate the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applicant on the title and that prayer is repeated in paragraph 15 (c) thereof. To my mind, that is the prevailing status quo in place at the time of filing the amended plaint. </w:t>
      </w:r>
    </w:p>
    <w:p w:rsidR="00FA735E" w:rsidRPr="000D2BD8" w:rsidRDefault="00FA735E" w:rsidP="00FA735E">
      <w:pPr>
        <w:pStyle w:val="ListParagraph"/>
        <w:spacing w:line="360" w:lineRule="auto"/>
        <w:ind w:left="0"/>
        <w:jc w:val="both"/>
        <w:rPr>
          <w:rFonts w:ascii="Times New Roman" w:hAnsi="Times New Roman" w:cs="Times New Roman"/>
          <w:sz w:val="24"/>
          <w:szCs w:val="24"/>
        </w:rPr>
      </w:pPr>
    </w:p>
    <w:p w:rsidR="00FA735E" w:rsidRPr="000D2BD8" w:rsidRDefault="00FA735E" w:rsidP="00FA735E">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lastRenderedPageBreak/>
        <w:t>It must not be forgotten that temporary injunctions are discretionary orders and will generally not be granted in vain. It is confirmed from the pleadings that the act of transferring Block 405 plot 90 to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4</w:t>
      </w:r>
      <w:r w:rsidRPr="000D2BD8">
        <w:rPr>
          <w:rFonts w:ascii="Times New Roman" w:hAnsi="Times New Roman" w:cs="Times New Roman"/>
          <w:sz w:val="24"/>
          <w:szCs w:val="24"/>
          <w:vertAlign w:val="superscript"/>
        </w:rPr>
        <w:t>th</w:t>
      </w:r>
      <w:r w:rsidRPr="000D2BD8">
        <w:rPr>
          <w:rFonts w:ascii="Times New Roman" w:hAnsi="Times New Roman" w:cs="Times New Roman"/>
          <w:sz w:val="24"/>
          <w:szCs w:val="24"/>
        </w:rPr>
        <w:t xml:space="preserve"> respondents, </w:t>
      </w:r>
      <w:proofErr w:type="spellStart"/>
      <w:r w:rsidRPr="000D2BD8">
        <w:rPr>
          <w:rFonts w:ascii="Times New Roman" w:hAnsi="Times New Roman" w:cs="Times New Roman"/>
          <w:sz w:val="24"/>
          <w:szCs w:val="24"/>
        </w:rPr>
        <w:t>and</w:t>
      </w:r>
      <w:proofErr w:type="gramStart"/>
      <w:r w:rsidRPr="000D2BD8">
        <w:rPr>
          <w:rFonts w:ascii="Times New Roman" w:hAnsi="Times New Roman" w:cs="Times New Roman"/>
          <w:sz w:val="24"/>
          <w:szCs w:val="24"/>
        </w:rPr>
        <w:t>,registration</w:t>
      </w:r>
      <w:proofErr w:type="spellEnd"/>
      <w:proofErr w:type="gramEnd"/>
      <w:r w:rsidRPr="000D2BD8">
        <w:rPr>
          <w:rFonts w:ascii="Times New Roman" w:hAnsi="Times New Roman" w:cs="Times New Roman"/>
          <w:sz w:val="24"/>
          <w:szCs w:val="24"/>
        </w:rPr>
        <w:t xml:space="preserve"> onto the title of the name of the 4</w:t>
      </w:r>
      <w:r w:rsidRPr="000D2BD8">
        <w:rPr>
          <w:rFonts w:ascii="Times New Roman" w:hAnsi="Times New Roman" w:cs="Times New Roman"/>
          <w:sz w:val="24"/>
          <w:szCs w:val="24"/>
          <w:vertAlign w:val="superscript"/>
        </w:rPr>
        <w:t>th</w:t>
      </w:r>
      <w:r w:rsidRPr="000D2BD8">
        <w:rPr>
          <w:rFonts w:ascii="Times New Roman" w:hAnsi="Times New Roman" w:cs="Times New Roman"/>
          <w:sz w:val="24"/>
          <w:szCs w:val="24"/>
        </w:rPr>
        <w:t xml:space="preserve"> defendant was completed, and for that reason, granting the order sought by the applicants will be in vain and it is accordingly denied. The applicants may well continue their pursuit of the claim and if successful, can still obtain an order reversing the sale and transfer of the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applicant’s land into the name of the 4</w:t>
      </w:r>
      <w:r w:rsidRPr="000D2BD8">
        <w:rPr>
          <w:rFonts w:ascii="Times New Roman" w:hAnsi="Times New Roman" w:cs="Times New Roman"/>
          <w:sz w:val="24"/>
          <w:szCs w:val="24"/>
          <w:vertAlign w:val="superscript"/>
        </w:rPr>
        <w:t>th</w:t>
      </w:r>
      <w:r w:rsidRPr="000D2BD8">
        <w:rPr>
          <w:rFonts w:ascii="Times New Roman" w:hAnsi="Times New Roman" w:cs="Times New Roman"/>
          <w:sz w:val="24"/>
          <w:szCs w:val="24"/>
        </w:rPr>
        <w:t xml:space="preserve"> respondent. </w:t>
      </w:r>
    </w:p>
    <w:p w:rsidR="00FA735E" w:rsidRPr="000D2BD8" w:rsidRDefault="00FA735E" w:rsidP="00FA735E">
      <w:pPr>
        <w:pStyle w:val="ListParagraph"/>
        <w:spacing w:line="360" w:lineRule="auto"/>
        <w:ind w:left="0"/>
        <w:jc w:val="both"/>
        <w:rPr>
          <w:rFonts w:ascii="Times New Roman" w:hAnsi="Times New Roman" w:cs="Times New Roman"/>
          <w:sz w:val="24"/>
          <w:szCs w:val="24"/>
        </w:rPr>
      </w:pPr>
    </w:p>
    <w:p w:rsidR="00FA735E" w:rsidRPr="000D2BD8" w:rsidRDefault="00FA735E" w:rsidP="00FA735E">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The applicants in addition sought an order preventing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applicants from disposing off of the land belonging to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applicant until disposal of the suit. There was no specific contest to that prayer and I have already found that the applicants have by their pleadings raised a </w:t>
      </w:r>
      <w:proofErr w:type="spellStart"/>
      <w:r w:rsidRPr="000D2BD8">
        <w:rPr>
          <w:rFonts w:ascii="Times New Roman" w:hAnsi="Times New Roman" w:cs="Times New Roman"/>
          <w:i/>
          <w:sz w:val="24"/>
          <w:szCs w:val="24"/>
        </w:rPr>
        <w:t>primafacie</w:t>
      </w:r>
      <w:proofErr w:type="spellEnd"/>
      <w:r w:rsidRPr="000D2BD8">
        <w:rPr>
          <w:rFonts w:ascii="Times New Roman" w:hAnsi="Times New Roman" w:cs="Times New Roman"/>
          <w:sz w:val="24"/>
          <w:szCs w:val="24"/>
        </w:rPr>
        <w:t xml:space="preserve"> case. The valuation report attached to the amended plaint as annexure “E” shows that that property was  in May 2012 valued at </w:t>
      </w:r>
      <w:proofErr w:type="spellStart"/>
      <w:r w:rsidRPr="000D2BD8">
        <w:rPr>
          <w:rFonts w:ascii="Times New Roman" w:hAnsi="Times New Roman" w:cs="Times New Roman"/>
          <w:sz w:val="24"/>
          <w:szCs w:val="24"/>
        </w:rPr>
        <w:t>Shs</w:t>
      </w:r>
      <w:proofErr w:type="spellEnd"/>
      <w:r w:rsidRPr="000D2BD8">
        <w:rPr>
          <w:rFonts w:ascii="Times New Roman" w:hAnsi="Times New Roman" w:cs="Times New Roman"/>
          <w:sz w:val="24"/>
          <w:szCs w:val="24"/>
        </w:rPr>
        <w:t>. 1,715,000,000/-.  This was repeated in the affidavit of the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applicant. I have no doubt to believe her that it is valuable property and that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applicant stands to suffer substantial loss if it is sold off before final disposal of the suit. </w:t>
      </w:r>
    </w:p>
    <w:p w:rsidR="00FA735E" w:rsidRPr="000D2BD8" w:rsidRDefault="00FA735E" w:rsidP="00FA735E">
      <w:pPr>
        <w:pStyle w:val="ListParagraph"/>
        <w:spacing w:line="360" w:lineRule="auto"/>
        <w:ind w:left="0"/>
        <w:jc w:val="both"/>
        <w:rPr>
          <w:rFonts w:ascii="Times New Roman" w:hAnsi="Times New Roman" w:cs="Times New Roman"/>
          <w:sz w:val="24"/>
          <w:szCs w:val="24"/>
        </w:rPr>
      </w:pPr>
    </w:p>
    <w:p w:rsidR="00FA735E" w:rsidRPr="000D2BD8" w:rsidRDefault="00FA735E" w:rsidP="00FA735E">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I would thereby allow the prayer in respect of that property and order that a temporary injunction doth issue to restrain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respondents from disposing off of property of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applicant comprised in </w:t>
      </w:r>
      <w:proofErr w:type="spellStart"/>
      <w:r w:rsidRPr="000D2BD8">
        <w:rPr>
          <w:rFonts w:ascii="Times New Roman" w:hAnsi="Times New Roman" w:cs="Times New Roman"/>
          <w:sz w:val="24"/>
          <w:szCs w:val="24"/>
        </w:rPr>
        <w:t>Busiro</w:t>
      </w:r>
      <w:proofErr w:type="spellEnd"/>
      <w:r w:rsidRPr="000D2BD8">
        <w:rPr>
          <w:rFonts w:ascii="Times New Roman" w:hAnsi="Times New Roman" w:cs="Times New Roman"/>
          <w:sz w:val="24"/>
          <w:szCs w:val="24"/>
        </w:rPr>
        <w:t xml:space="preserve"> in Block 438 Plots 459 and 460 until the main suit is heard and disposed of.</w:t>
      </w:r>
    </w:p>
    <w:p w:rsidR="00FA735E" w:rsidRPr="000D2BD8" w:rsidRDefault="00FA735E" w:rsidP="00FA735E">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Since the application has only succeeded in part, I would in addition order that each party herein meets their costs of the application.</w:t>
      </w:r>
    </w:p>
    <w:p w:rsidR="00FA735E" w:rsidRPr="000D2BD8" w:rsidRDefault="00FA735E" w:rsidP="00FA735E">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I so order</w:t>
      </w:r>
    </w:p>
    <w:p w:rsidR="00FA735E" w:rsidRPr="000D2BD8" w:rsidRDefault="00FA735E" w:rsidP="00FA735E">
      <w:pPr>
        <w:pStyle w:val="ListParagraph"/>
        <w:spacing w:line="360" w:lineRule="auto"/>
        <w:ind w:left="0"/>
        <w:jc w:val="both"/>
        <w:rPr>
          <w:rFonts w:ascii="Times New Roman" w:hAnsi="Times New Roman" w:cs="Times New Roman"/>
          <w:sz w:val="24"/>
          <w:szCs w:val="24"/>
        </w:rPr>
      </w:pPr>
    </w:p>
    <w:p w:rsidR="00FA735E" w:rsidRPr="000D2BD8" w:rsidRDefault="00FA735E" w:rsidP="00FA735E">
      <w:pPr>
        <w:pStyle w:val="ListParagraph"/>
        <w:spacing w:line="360" w:lineRule="auto"/>
        <w:ind w:left="0"/>
        <w:jc w:val="both"/>
        <w:rPr>
          <w:rFonts w:ascii="Times New Roman" w:hAnsi="Times New Roman" w:cs="Times New Roman"/>
          <w:sz w:val="24"/>
          <w:szCs w:val="24"/>
        </w:rPr>
      </w:pPr>
    </w:p>
    <w:p w:rsidR="00FA735E" w:rsidRPr="000D2BD8" w:rsidRDefault="00FA735E" w:rsidP="00FA735E">
      <w:pPr>
        <w:pStyle w:val="ListParagraph"/>
        <w:spacing w:line="360" w:lineRule="auto"/>
        <w:ind w:left="0"/>
        <w:jc w:val="both"/>
        <w:rPr>
          <w:rFonts w:ascii="Times New Roman" w:hAnsi="Times New Roman" w:cs="Times New Roman"/>
          <w:sz w:val="24"/>
          <w:szCs w:val="24"/>
        </w:rPr>
      </w:pPr>
    </w:p>
    <w:p w:rsidR="00FA735E" w:rsidRPr="000D2BD8" w:rsidRDefault="00FA735E" w:rsidP="00FA735E">
      <w:pPr>
        <w:pStyle w:val="NoSpacing"/>
        <w:rPr>
          <w:rFonts w:ascii="Times New Roman" w:hAnsi="Times New Roman"/>
          <w:b/>
          <w:sz w:val="24"/>
          <w:szCs w:val="24"/>
        </w:rPr>
      </w:pPr>
      <w:r w:rsidRPr="000D2BD8">
        <w:rPr>
          <w:rFonts w:ascii="Times New Roman" w:hAnsi="Times New Roman"/>
          <w:b/>
          <w:sz w:val="24"/>
          <w:szCs w:val="24"/>
        </w:rPr>
        <w:t>.……………………………</w:t>
      </w:r>
    </w:p>
    <w:p w:rsidR="00FA735E" w:rsidRPr="000D2BD8" w:rsidRDefault="00FA735E" w:rsidP="00FA735E">
      <w:pPr>
        <w:pStyle w:val="NoSpacing"/>
        <w:rPr>
          <w:rFonts w:ascii="Times New Roman" w:hAnsi="Times New Roman"/>
          <w:b/>
          <w:sz w:val="24"/>
          <w:szCs w:val="24"/>
        </w:rPr>
      </w:pPr>
      <w:r w:rsidRPr="000D2BD8">
        <w:rPr>
          <w:rFonts w:ascii="Times New Roman" w:hAnsi="Times New Roman"/>
          <w:b/>
          <w:sz w:val="24"/>
          <w:szCs w:val="24"/>
        </w:rPr>
        <w:t xml:space="preserve">EVA K. LUSWATA </w:t>
      </w:r>
    </w:p>
    <w:p w:rsidR="00FA735E" w:rsidRPr="000D2BD8" w:rsidRDefault="00FA735E" w:rsidP="00FA735E">
      <w:pPr>
        <w:pStyle w:val="NoSpacing"/>
        <w:rPr>
          <w:rFonts w:ascii="Times New Roman" w:hAnsi="Times New Roman"/>
          <w:b/>
          <w:sz w:val="24"/>
          <w:szCs w:val="24"/>
        </w:rPr>
      </w:pPr>
      <w:r w:rsidRPr="000D2BD8">
        <w:rPr>
          <w:rFonts w:ascii="Times New Roman" w:hAnsi="Times New Roman"/>
          <w:b/>
          <w:sz w:val="24"/>
          <w:szCs w:val="24"/>
        </w:rPr>
        <w:t>JUDGE</w:t>
      </w:r>
    </w:p>
    <w:p w:rsidR="00FA735E" w:rsidRPr="000D2BD8" w:rsidRDefault="00FA735E" w:rsidP="00FA735E">
      <w:pPr>
        <w:spacing w:line="360" w:lineRule="auto"/>
        <w:jc w:val="both"/>
        <w:rPr>
          <w:rFonts w:ascii="Times New Roman" w:hAnsi="Times New Roman"/>
          <w:b/>
          <w:sz w:val="24"/>
          <w:szCs w:val="24"/>
        </w:rPr>
      </w:pPr>
      <w:r w:rsidRPr="000D2BD8">
        <w:rPr>
          <w:rFonts w:ascii="Times New Roman" w:hAnsi="Times New Roman"/>
          <w:b/>
          <w:sz w:val="24"/>
          <w:szCs w:val="24"/>
        </w:rPr>
        <w:t>16/10/2015</w:t>
      </w:r>
    </w:p>
    <w:p w:rsidR="00D752AD" w:rsidRDefault="00D752AD"/>
    <w:sectPr w:rsidR="00D7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AE6"/>
    <w:multiLevelType w:val="hybridMultilevel"/>
    <w:tmpl w:val="934C5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E11F0E"/>
    <w:multiLevelType w:val="hybridMultilevel"/>
    <w:tmpl w:val="D742C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D22567"/>
    <w:multiLevelType w:val="hybridMultilevel"/>
    <w:tmpl w:val="C3124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5E"/>
    <w:rsid w:val="00D752AD"/>
    <w:rsid w:val="00FA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35E"/>
    <w:pPr>
      <w:spacing w:after="0" w:line="240" w:lineRule="auto"/>
    </w:pPr>
    <w:rPr>
      <w:rFonts w:ascii="Calibri" w:eastAsia="Calibri" w:hAnsi="Calibri" w:cs="Times New Roman"/>
    </w:rPr>
  </w:style>
  <w:style w:type="paragraph" w:styleId="ListParagraph">
    <w:name w:val="List Paragraph"/>
    <w:basedOn w:val="Normal"/>
    <w:uiPriority w:val="34"/>
    <w:qFormat/>
    <w:rsid w:val="00FA735E"/>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35E"/>
    <w:pPr>
      <w:spacing w:after="0" w:line="240" w:lineRule="auto"/>
    </w:pPr>
    <w:rPr>
      <w:rFonts w:ascii="Calibri" w:eastAsia="Calibri" w:hAnsi="Calibri" w:cs="Times New Roman"/>
    </w:rPr>
  </w:style>
  <w:style w:type="paragraph" w:styleId="ListParagraph">
    <w:name w:val="List Paragraph"/>
    <w:basedOn w:val="Normal"/>
    <w:uiPriority w:val="34"/>
    <w:qFormat/>
    <w:rsid w:val="00FA735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2017-02-02T12:09:00Z</dcterms:created>
  <dcterms:modified xsi:type="dcterms:W3CDTF">2017-02-02T12:10:00Z</dcterms:modified>
</cp:coreProperties>
</file>