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5F" w:rsidRPr="000960C2" w:rsidRDefault="00EF6A5F" w:rsidP="00EF6A5F">
      <w:pPr>
        <w:pStyle w:val="NoSpacing"/>
        <w:jc w:val="center"/>
        <w:rPr>
          <w:rFonts w:ascii="Times New Roman" w:hAnsi="Times New Roman"/>
          <w:b/>
          <w:sz w:val="24"/>
          <w:szCs w:val="24"/>
        </w:rPr>
      </w:pPr>
      <w:r w:rsidRPr="000960C2">
        <w:rPr>
          <w:rFonts w:ascii="Times New Roman" w:hAnsi="Times New Roman"/>
          <w:b/>
          <w:sz w:val="24"/>
          <w:szCs w:val="24"/>
        </w:rPr>
        <w:t>THE REPUBLIC OF UGANDA</w:t>
      </w:r>
    </w:p>
    <w:p w:rsidR="00EF6A5F" w:rsidRPr="000960C2" w:rsidRDefault="00EF6A5F" w:rsidP="00EF6A5F">
      <w:pPr>
        <w:pStyle w:val="NoSpacing"/>
        <w:jc w:val="center"/>
        <w:rPr>
          <w:rFonts w:ascii="Times New Roman" w:hAnsi="Times New Roman"/>
          <w:b/>
          <w:sz w:val="24"/>
          <w:szCs w:val="24"/>
        </w:rPr>
      </w:pPr>
      <w:r w:rsidRPr="000960C2">
        <w:rPr>
          <w:rFonts w:ascii="Times New Roman" w:hAnsi="Times New Roman"/>
          <w:b/>
          <w:sz w:val="24"/>
          <w:szCs w:val="24"/>
        </w:rPr>
        <w:t>IN THE HIGH COURT OF UGANDA AT KAMPALA</w:t>
      </w:r>
    </w:p>
    <w:p w:rsidR="00EF6A5F" w:rsidRPr="000960C2" w:rsidRDefault="00EF6A5F" w:rsidP="00EF6A5F">
      <w:pPr>
        <w:pStyle w:val="NoSpacing"/>
        <w:jc w:val="center"/>
        <w:rPr>
          <w:rFonts w:ascii="Times New Roman" w:hAnsi="Times New Roman"/>
          <w:b/>
          <w:sz w:val="24"/>
          <w:szCs w:val="24"/>
        </w:rPr>
      </w:pPr>
      <w:r w:rsidRPr="000960C2">
        <w:rPr>
          <w:rFonts w:ascii="Times New Roman" w:hAnsi="Times New Roman"/>
          <w:b/>
          <w:sz w:val="24"/>
          <w:szCs w:val="24"/>
        </w:rPr>
        <w:t>LAND DIVISION</w:t>
      </w:r>
    </w:p>
    <w:p w:rsidR="00EF6A5F" w:rsidRPr="000960C2" w:rsidRDefault="00EF6A5F" w:rsidP="00EF6A5F">
      <w:pPr>
        <w:pStyle w:val="NoSpacing"/>
        <w:jc w:val="center"/>
        <w:rPr>
          <w:rFonts w:ascii="Times New Roman" w:hAnsi="Times New Roman"/>
          <w:b/>
          <w:sz w:val="24"/>
          <w:szCs w:val="24"/>
        </w:rPr>
      </w:pPr>
    </w:p>
    <w:p w:rsidR="00EF6A5F" w:rsidRPr="000960C2" w:rsidRDefault="00EF6A5F" w:rsidP="00EF6A5F">
      <w:pPr>
        <w:pStyle w:val="NoSpacing"/>
        <w:jc w:val="center"/>
        <w:rPr>
          <w:rFonts w:ascii="Times New Roman" w:hAnsi="Times New Roman"/>
          <w:b/>
          <w:sz w:val="24"/>
          <w:szCs w:val="24"/>
        </w:rPr>
      </w:pPr>
      <w:proofErr w:type="gramStart"/>
      <w:r w:rsidRPr="000960C2">
        <w:rPr>
          <w:rFonts w:ascii="Times New Roman" w:hAnsi="Times New Roman"/>
          <w:b/>
          <w:sz w:val="24"/>
          <w:szCs w:val="24"/>
        </w:rPr>
        <w:t>CIVIL SUIT NO.</w:t>
      </w:r>
      <w:proofErr w:type="gramEnd"/>
      <w:r w:rsidRPr="000960C2">
        <w:rPr>
          <w:rFonts w:ascii="Times New Roman" w:hAnsi="Times New Roman"/>
          <w:b/>
          <w:sz w:val="24"/>
          <w:szCs w:val="24"/>
        </w:rPr>
        <w:t xml:space="preserve"> 282 OF 2013</w:t>
      </w:r>
    </w:p>
    <w:p w:rsidR="00EF6A5F" w:rsidRPr="000960C2" w:rsidRDefault="00EF6A5F" w:rsidP="00EF6A5F">
      <w:pPr>
        <w:pStyle w:val="NoSpacing"/>
        <w:jc w:val="center"/>
        <w:rPr>
          <w:rFonts w:ascii="Times New Roman" w:hAnsi="Times New Roman"/>
          <w:b/>
          <w:sz w:val="24"/>
          <w:szCs w:val="24"/>
        </w:rPr>
      </w:pPr>
    </w:p>
    <w:p w:rsidR="00EF6A5F" w:rsidRPr="000960C2" w:rsidRDefault="00EF6A5F" w:rsidP="00EF6A5F">
      <w:pPr>
        <w:spacing w:line="360" w:lineRule="auto"/>
        <w:jc w:val="both"/>
        <w:rPr>
          <w:rFonts w:ascii="Times New Roman" w:hAnsi="Times New Roman"/>
          <w:b/>
          <w:sz w:val="24"/>
          <w:szCs w:val="24"/>
        </w:rPr>
      </w:pPr>
      <w:r w:rsidRPr="000960C2">
        <w:rPr>
          <w:rFonts w:ascii="Times New Roman" w:hAnsi="Times New Roman"/>
          <w:b/>
          <w:sz w:val="24"/>
          <w:szCs w:val="24"/>
        </w:rPr>
        <w:t>SUNDAY EDWAR</w:t>
      </w:r>
      <w:r w:rsidR="000960C2">
        <w:rPr>
          <w:rFonts w:ascii="Times New Roman" w:hAnsi="Times New Roman"/>
          <w:b/>
          <w:sz w:val="24"/>
          <w:szCs w:val="24"/>
        </w:rPr>
        <w:t>D MUKOOLI………………………………………</w:t>
      </w:r>
      <w:r w:rsidRPr="000960C2">
        <w:rPr>
          <w:rFonts w:ascii="Times New Roman" w:hAnsi="Times New Roman"/>
          <w:b/>
          <w:sz w:val="24"/>
          <w:szCs w:val="24"/>
        </w:rPr>
        <w:t>…….  PLAINTIFF</w:t>
      </w:r>
    </w:p>
    <w:p w:rsidR="00EF6A5F" w:rsidRPr="000960C2" w:rsidRDefault="00EF6A5F" w:rsidP="00EF6A5F">
      <w:pPr>
        <w:spacing w:line="360" w:lineRule="auto"/>
        <w:jc w:val="center"/>
        <w:rPr>
          <w:rFonts w:ascii="Times New Roman" w:hAnsi="Times New Roman"/>
          <w:b/>
          <w:sz w:val="24"/>
          <w:szCs w:val="24"/>
        </w:rPr>
      </w:pPr>
      <w:r w:rsidRPr="000960C2">
        <w:rPr>
          <w:rFonts w:ascii="Times New Roman" w:hAnsi="Times New Roman"/>
          <w:b/>
          <w:sz w:val="24"/>
          <w:szCs w:val="24"/>
        </w:rPr>
        <w:t>VERSUS</w:t>
      </w:r>
    </w:p>
    <w:p w:rsidR="00EF6A5F" w:rsidRPr="000960C2" w:rsidRDefault="00EF6A5F" w:rsidP="00EF6A5F">
      <w:pPr>
        <w:pStyle w:val="NoSpacing"/>
        <w:numPr>
          <w:ilvl w:val="0"/>
          <w:numId w:val="1"/>
        </w:numPr>
        <w:rPr>
          <w:rFonts w:ascii="Times New Roman" w:hAnsi="Times New Roman"/>
          <w:b/>
          <w:sz w:val="24"/>
          <w:szCs w:val="24"/>
        </w:rPr>
      </w:pPr>
      <w:bookmarkStart w:id="0" w:name="_GoBack"/>
      <w:bookmarkEnd w:id="0"/>
      <w:r w:rsidRPr="000960C2">
        <w:rPr>
          <w:rFonts w:ascii="Times New Roman" w:hAnsi="Times New Roman"/>
          <w:b/>
          <w:sz w:val="24"/>
          <w:szCs w:val="24"/>
        </w:rPr>
        <w:t xml:space="preserve">NABBALE TEOPISTA           </w:t>
      </w:r>
    </w:p>
    <w:p w:rsidR="00EF6A5F" w:rsidRPr="000960C2" w:rsidRDefault="00EF6A5F" w:rsidP="00EF6A5F">
      <w:pPr>
        <w:pStyle w:val="NoSpacing"/>
        <w:numPr>
          <w:ilvl w:val="0"/>
          <w:numId w:val="1"/>
        </w:numPr>
        <w:rPr>
          <w:rFonts w:ascii="Times New Roman" w:hAnsi="Times New Roman"/>
          <w:b/>
          <w:sz w:val="24"/>
          <w:szCs w:val="24"/>
        </w:rPr>
      </w:pPr>
      <w:r w:rsidRPr="000960C2">
        <w:rPr>
          <w:rFonts w:ascii="Times New Roman" w:hAnsi="Times New Roman"/>
          <w:b/>
          <w:sz w:val="24"/>
          <w:szCs w:val="24"/>
        </w:rPr>
        <w:t>JOHN SEWA NYANA</w:t>
      </w:r>
    </w:p>
    <w:p w:rsidR="00EF6A5F" w:rsidRPr="000960C2" w:rsidRDefault="00EF6A5F" w:rsidP="00EF6A5F">
      <w:pPr>
        <w:pStyle w:val="NoSpacing"/>
        <w:numPr>
          <w:ilvl w:val="0"/>
          <w:numId w:val="1"/>
        </w:numPr>
        <w:rPr>
          <w:rFonts w:ascii="Times New Roman" w:hAnsi="Times New Roman"/>
          <w:b/>
          <w:sz w:val="24"/>
          <w:szCs w:val="24"/>
        </w:rPr>
      </w:pPr>
      <w:r w:rsidRPr="000960C2">
        <w:rPr>
          <w:rFonts w:ascii="Times New Roman" w:hAnsi="Times New Roman"/>
          <w:b/>
          <w:sz w:val="24"/>
          <w:szCs w:val="24"/>
        </w:rPr>
        <w:t xml:space="preserve">WALUSIMBI ELSA ALLEN          </w:t>
      </w:r>
      <w:r w:rsidR="000960C2">
        <w:rPr>
          <w:rFonts w:ascii="Times New Roman" w:hAnsi="Times New Roman"/>
          <w:b/>
          <w:sz w:val="24"/>
          <w:szCs w:val="24"/>
        </w:rPr>
        <w:t>………………………………</w:t>
      </w:r>
      <w:r w:rsidRPr="000960C2">
        <w:rPr>
          <w:rFonts w:ascii="Times New Roman" w:hAnsi="Times New Roman"/>
          <w:b/>
          <w:sz w:val="24"/>
          <w:szCs w:val="24"/>
        </w:rPr>
        <w:t>……    DEFENDANTS</w:t>
      </w:r>
    </w:p>
    <w:p w:rsidR="00EF6A5F" w:rsidRPr="000960C2" w:rsidRDefault="00EF6A5F" w:rsidP="00EF6A5F">
      <w:pPr>
        <w:pStyle w:val="NoSpacing"/>
        <w:numPr>
          <w:ilvl w:val="0"/>
          <w:numId w:val="1"/>
        </w:numPr>
        <w:rPr>
          <w:rFonts w:ascii="Times New Roman" w:hAnsi="Times New Roman"/>
          <w:b/>
          <w:sz w:val="24"/>
          <w:szCs w:val="24"/>
        </w:rPr>
      </w:pPr>
      <w:r w:rsidRPr="000960C2">
        <w:rPr>
          <w:rFonts w:ascii="Times New Roman" w:hAnsi="Times New Roman"/>
          <w:b/>
          <w:sz w:val="24"/>
          <w:szCs w:val="24"/>
        </w:rPr>
        <w:t>KAWALYA DORAH</w:t>
      </w:r>
    </w:p>
    <w:p w:rsidR="00EF6A5F" w:rsidRPr="000960C2" w:rsidRDefault="00EF6A5F" w:rsidP="00EF6A5F">
      <w:pPr>
        <w:pStyle w:val="NoSpacing"/>
        <w:rPr>
          <w:rFonts w:ascii="Times New Roman" w:hAnsi="Times New Roman"/>
          <w:b/>
          <w:sz w:val="24"/>
          <w:szCs w:val="24"/>
        </w:rPr>
      </w:pPr>
    </w:p>
    <w:p w:rsidR="00EF6A5F" w:rsidRPr="000960C2" w:rsidRDefault="00EF6A5F" w:rsidP="00EF6A5F">
      <w:pPr>
        <w:ind w:left="720" w:hanging="720"/>
        <w:jc w:val="center"/>
        <w:rPr>
          <w:rFonts w:ascii="Times New Roman" w:hAnsi="Times New Roman"/>
          <w:b/>
          <w:sz w:val="24"/>
          <w:szCs w:val="24"/>
          <w:u w:val="single"/>
        </w:rPr>
      </w:pPr>
      <w:r w:rsidRPr="000960C2">
        <w:rPr>
          <w:rFonts w:ascii="Times New Roman" w:hAnsi="Times New Roman"/>
          <w:b/>
          <w:sz w:val="24"/>
          <w:szCs w:val="24"/>
          <w:u w:val="single"/>
        </w:rPr>
        <w:t xml:space="preserve">RULING – PRELIMINARY OBJECTION </w:t>
      </w:r>
    </w:p>
    <w:p w:rsidR="00EF6A5F" w:rsidRPr="000960C2" w:rsidRDefault="00EF6A5F" w:rsidP="00EF6A5F">
      <w:pPr>
        <w:rPr>
          <w:rFonts w:ascii="Times New Roman" w:hAnsi="Times New Roman"/>
          <w:sz w:val="24"/>
          <w:szCs w:val="24"/>
          <w:u w:val="single"/>
        </w:rPr>
      </w:pPr>
      <w:r w:rsidRPr="000960C2">
        <w:rPr>
          <w:rFonts w:ascii="Times New Roman" w:hAnsi="Times New Roman"/>
          <w:b/>
          <w:sz w:val="24"/>
          <w:szCs w:val="24"/>
          <w:u w:val="single"/>
        </w:rPr>
        <w:t>BEFORE HONOURABLE LADY JUSTICE EVA K. LUSWATA</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t xml:space="preserve">The plaintiff bought this suit jointly and severally against the defendants seeking for orders that the plaintiff is the rightful and legal owner of a legal interest in part of the land comprised in </w:t>
      </w:r>
      <w:proofErr w:type="spellStart"/>
      <w:r w:rsidRPr="000960C2">
        <w:rPr>
          <w:rFonts w:ascii="Times New Roman" w:hAnsi="Times New Roman"/>
          <w:sz w:val="24"/>
          <w:szCs w:val="24"/>
        </w:rPr>
        <w:t>Kyadondo</w:t>
      </w:r>
      <w:proofErr w:type="spellEnd"/>
      <w:r w:rsidRPr="000960C2">
        <w:rPr>
          <w:rFonts w:ascii="Times New Roman" w:hAnsi="Times New Roman"/>
          <w:sz w:val="24"/>
          <w:szCs w:val="24"/>
        </w:rPr>
        <w:t xml:space="preserve"> Block 244 Plot 541 at </w:t>
      </w:r>
      <w:proofErr w:type="spellStart"/>
      <w:r w:rsidRPr="000960C2">
        <w:rPr>
          <w:rFonts w:ascii="Times New Roman" w:hAnsi="Times New Roman"/>
          <w:sz w:val="24"/>
          <w:szCs w:val="24"/>
        </w:rPr>
        <w:t>Kabalagala</w:t>
      </w:r>
      <w:proofErr w:type="spellEnd"/>
      <w:r w:rsidRPr="000960C2">
        <w:rPr>
          <w:rFonts w:ascii="Times New Roman" w:hAnsi="Times New Roman"/>
          <w:sz w:val="24"/>
          <w:szCs w:val="24"/>
        </w:rPr>
        <w:t xml:space="preserve"> (hereinafter referred to as the suit land) which was sold to him by the 2</w:t>
      </w:r>
      <w:r w:rsidRPr="000960C2">
        <w:rPr>
          <w:rFonts w:ascii="Times New Roman" w:hAnsi="Times New Roman"/>
          <w:sz w:val="24"/>
          <w:szCs w:val="24"/>
          <w:vertAlign w:val="superscript"/>
        </w:rPr>
        <w:t>nd</w:t>
      </w:r>
      <w:r w:rsidRPr="000960C2">
        <w:rPr>
          <w:rFonts w:ascii="Times New Roman" w:hAnsi="Times New Roman"/>
          <w:sz w:val="24"/>
          <w:szCs w:val="24"/>
        </w:rPr>
        <w:t>, 3</w:t>
      </w:r>
      <w:r w:rsidRPr="000960C2">
        <w:rPr>
          <w:rFonts w:ascii="Times New Roman" w:hAnsi="Times New Roman"/>
          <w:sz w:val="24"/>
          <w:szCs w:val="24"/>
          <w:vertAlign w:val="superscript"/>
        </w:rPr>
        <w:t>rd</w:t>
      </w:r>
      <w:r w:rsidRPr="000960C2">
        <w:rPr>
          <w:rFonts w:ascii="Times New Roman" w:hAnsi="Times New Roman"/>
          <w:sz w:val="24"/>
          <w:szCs w:val="24"/>
        </w:rPr>
        <w:t xml:space="preserve"> and 4</w:t>
      </w:r>
      <w:r w:rsidRPr="000960C2">
        <w:rPr>
          <w:rFonts w:ascii="Times New Roman" w:hAnsi="Times New Roman"/>
          <w:sz w:val="24"/>
          <w:szCs w:val="24"/>
          <w:vertAlign w:val="superscript"/>
        </w:rPr>
        <w:t>th</w:t>
      </w:r>
      <w:r w:rsidRPr="000960C2">
        <w:rPr>
          <w:rFonts w:ascii="Times New Roman" w:hAnsi="Times New Roman"/>
          <w:sz w:val="24"/>
          <w:szCs w:val="24"/>
        </w:rPr>
        <w:t xml:space="preserve"> defendants as the Administrators of the Estate of the Late Kristina </w:t>
      </w:r>
      <w:proofErr w:type="spellStart"/>
      <w:r w:rsidRPr="000960C2">
        <w:rPr>
          <w:rFonts w:ascii="Times New Roman" w:hAnsi="Times New Roman"/>
          <w:sz w:val="24"/>
          <w:szCs w:val="24"/>
        </w:rPr>
        <w:t>Nabaggala</w:t>
      </w:r>
      <w:proofErr w:type="spellEnd"/>
      <w:r w:rsidRPr="000960C2">
        <w:rPr>
          <w:rFonts w:ascii="Times New Roman" w:hAnsi="Times New Roman"/>
          <w:sz w:val="24"/>
          <w:szCs w:val="24"/>
        </w:rPr>
        <w:t>.  His complaint is that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procured registration of the entire suit land wrongly including, the plaintiff’s portion which she knew or ought to have known was unlawful and fraudulent.</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t xml:space="preserve">In her written statement of </w:t>
      </w:r>
      <w:proofErr w:type="spellStart"/>
      <w:r w:rsidRPr="000960C2">
        <w:rPr>
          <w:rFonts w:ascii="Times New Roman" w:hAnsi="Times New Roman"/>
          <w:sz w:val="24"/>
          <w:szCs w:val="24"/>
        </w:rPr>
        <w:t>defence</w:t>
      </w:r>
      <w:proofErr w:type="spellEnd"/>
      <w:r w:rsidRPr="000960C2">
        <w:rPr>
          <w:rFonts w:ascii="Times New Roman" w:hAnsi="Times New Roman"/>
          <w:sz w:val="24"/>
          <w:szCs w:val="24"/>
        </w:rPr>
        <w:t xml:space="preserve"> filed on 26/7/13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raised </w:t>
      </w:r>
      <w:proofErr w:type="spellStart"/>
      <w:r w:rsidRPr="000960C2">
        <w:rPr>
          <w:rFonts w:ascii="Times New Roman" w:hAnsi="Times New Roman"/>
          <w:sz w:val="24"/>
          <w:szCs w:val="24"/>
        </w:rPr>
        <w:t>aPreliminary</w:t>
      </w:r>
      <w:proofErr w:type="spellEnd"/>
      <w:r w:rsidRPr="000960C2">
        <w:rPr>
          <w:rFonts w:ascii="Times New Roman" w:hAnsi="Times New Roman"/>
          <w:sz w:val="24"/>
          <w:szCs w:val="24"/>
        </w:rPr>
        <w:t xml:space="preserve"> Objection that the suit is bad in law and does not disclose a cause of action against her and should be </w:t>
      </w:r>
      <w:proofErr w:type="spellStart"/>
      <w:r w:rsidRPr="000960C2">
        <w:rPr>
          <w:rFonts w:ascii="Times New Roman" w:hAnsi="Times New Roman"/>
          <w:sz w:val="24"/>
          <w:szCs w:val="24"/>
        </w:rPr>
        <w:t>dismissed.Both</w:t>
      </w:r>
      <w:proofErr w:type="spellEnd"/>
      <w:r w:rsidRPr="000960C2">
        <w:rPr>
          <w:rFonts w:ascii="Times New Roman" w:hAnsi="Times New Roman"/>
          <w:sz w:val="24"/>
          <w:szCs w:val="24"/>
        </w:rPr>
        <w:t xml:space="preserve"> parties filed written submissions in respect of the preliminary objection.</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t>It was contended for the 1</w:t>
      </w:r>
      <w:r w:rsidRPr="000960C2">
        <w:rPr>
          <w:rFonts w:ascii="Times New Roman" w:hAnsi="Times New Roman"/>
          <w:sz w:val="24"/>
          <w:szCs w:val="24"/>
          <w:vertAlign w:val="superscript"/>
        </w:rPr>
        <w:t>st</w:t>
      </w:r>
      <w:r w:rsidRPr="000960C2">
        <w:rPr>
          <w:rFonts w:ascii="Times New Roman" w:hAnsi="Times New Roman"/>
          <w:sz w:val="24"/>
          <w:szCs w:val="24"/>
        </w:rPr>
        <w:t>defendant that the suit is time barred in as far as it seeks to enforce a contract, executed on 2</w:t>
      </w:r>
      <w:r w:rsidRPr="000960C2">
        <w:rPr>
          <w:rFonts w:ascii="Times New Roman" w:hAnsi="Times New Roman"/>
          <w:sz w:val="24"/>
          <w:szCs w:val="24"/>
          <w:vertAlign w:val="superscript"/>
        </w:rPr>
        <w:t>nd</w:t>
      </w:r>
      <w:r w:rsidRPr="000960C2">
        <w:rPr>
          <w:rFonts w:ascii="Times New Roman" w:hAnsi="Times New Roman"/>
          <w:sz w:val="24"/>
          <w:szCs w:val="24"/>
        </w:rPr>
        <w:t xml:space="preserve"> July 2000. </w:t>
      </w:r>
      <w:r w:rsidRPr="000960C2">
        <w:rPr>
          <w:rFonts w:ascii="Times New Roman" w:hAnsi="Times New Roman"/>
          <w:b/>
          <w:sz w:val="24"/>
          <w:szCs w:val="24"/>
        </w:rPr>
        <w:t>Section 3(1) (a) of the Limitation Act Cap 80</w:t>
      </w:r>
      <w:r w:rsidRPr="000960C2">
        <w:rPr>
          <w:rFonts w:ascii="Times New Roman" w:hAnsi="Times New Roman"/>
          <w:sz w:val="24"/>
          <w:szCs w:val="24"/>
        </w:rPr>
        <w:t xml:space="preserve"> provides that actions founded on contract shall not be brought after the expiration of 6 years from the date on which the cause of action arose. Counsel argued that the plaintiff entered into a sale agreement with the Late Christine </w:t>
      </w:r>
      <w:proofErr w:type="spellStart"/>
      <w:r w:rsidRPr="000960C2">
        <w:rPr>
          <w:rFonts w:ascii="Times New Roman" w:hAnsi="Times New Roman"/>
          <w:sz w:val="24"/>
          <w:szCs w:val="24"/>
        </w:rPr>
        <w:t>Nabaggala</w:t>
      </w:r>
      <w:proofErr w:type="spellEnd"/>
      <w:r w:rsidRPr="000960C2">
        <w:rPr>
          <w:rFonts w:ascii="Times New Roman" w:hAnsi="Times New Roman"/>
          <w:sz w:val="24"/>
          <w:szCs w:val="24"/>
        </w:rPr>
        <w:t xml:space="preserve"> on 2/7/2000 for the purchase of the interest in the suit land for which she paid a sum of Ushs.7,200,000/=.  She was to pay the balance of </w:t>
      </w:r>
      <w:proofErr w:type="spellStart"/>
      <w:r w:rsidRPr="000960C2">
        <w:rPr>
          <w:rFonts w:ascii="Times New Roman" w:hAnsi="Times New Roman"/>
          <w:sz w:val="24"/>
          <w:szCs w:val="24"/>
        </w:rPr>
        <w:t>Ushs</w:t>
      </w:r>
      <w:proofErr w:type="spellEnd"/>
      <w:r w:rsidRPr="000960C2">
        <w:rPr>
          <w:rFonts w:ascii="Times New Roman" w:hAnsi="Times New Roman"/>
          <w:sz w:val="24"/>
          <w:szCs w:val="24"/>
        </w:rPr>
        <w:t xml:space="preserve">. 7,300,000/= when the vendor secured a certificate of title for him.  It was then argued that there is no evidence on record that the plaintiff made any effort to demand for the certificate of title or to enforce the contract against the late Christine </w:t>
      </w:r>
      <w:proofErr w:type="spellStart"/>
      <w:r w:rsidRPr="000960C2">
        <w:rPr>
          <w:rFonts w:ascii="Times New Roman" w:hAnsi="Times New Roman"/>
          <w:sz w:val="24"/>
          <w:szCs w:val="24"/>
        </w:rPr>
        <w:t>Nabaggala</w:t>
      </w:r>
      <w:proofErr w:type="spellEnd"/>
      <w:r w:rsidRPr="000960C2">
        <w:rPr>
          <w:rFonts w:ascii="Times New Roman" w:hAnsi="Times New Roman"/>
          <w:sz w:val="24"/>
          <w:szCs w:val="24"/>
        </w:rPr>
        <w:t xml:space="preserve"> or her Administrators. That the first attempt to enforce the contract is through the present suit which the plaintiff instituted on 18/6/13 about 13 years since the cause of action arose.  Counsel then concluded that this suit is barred by the operation of the Limitation Act.   In support of her arguments, counsel cited a </w:t>
      </w:r>
      <w:r w:rsidRPr="000960C2">
        <w:rPr>
          <w:rFonts w:ascii="Times New Roman" w:hAnsi="Times New Roman"/>
          <w:sz w:val="24"/>
          <w:szCs w:val="24"/>
        </w:rPr>
        <w:lastRenderedPageBreak/>
        <w:t xml:space="preserve">number of authorities which included; </w:t>
      </w:r>
      <w:proofErr w:type="spellStart"/>
      <w:r w:rsidRPr="000960C2">
        <w:rPr>
          <w:rFonts w:ascii="Times New Roman" w:hAnsi="Times New Roman"/>
          <w:b/>
          <w:sz w:val="24"/>
          <w:szCs w:val="24"/>
        </w:rPr>
        <w:t>Lwanga</w:t>
      </w:r>
      <w:proofErr w:type="spellEnd"/>
      <w:r w:rsidRPr="000960C2">
        <w:rPr>
          <w:rFonts w:ascii="Times New Roman" w:hAnsi="Times New Roman"/>
          <w:b/>
          <w:sz w:val="24"/>
          <w:szCs w:val="24"/>
        </w:rPr>
        <w:t xml:space="preserve"> Vs. Uganda Electricity Board HCCS No. 124 of 2003, </w:t>
      </w:r>
      <w:proofErr w:type="spellStart"/>
      <w:r w:rsidRPr="000960C2">
        <w:rPr>
          <w:rFonts w:ascii="Times New Roman" w:hAnsi="Times New Roman"/>
          <w:b/>
          <w:sz w:val="24"/>
          <w:szCs w:val="24"/>
        </w:rPr>
        <w:t>Hammaann</w:t>
      </w:r>
      <w:proofErr w:type="spellEnd"/>
      <w:r w:rsidRPr="000960C2">
        <w:rPr>
          <w:rFonts w:ascii="Times New Roman" w:hAnsi="Times New Roman"/>
          <w:b/>
          <w:sz w:val="24"/>
          <w:szCs w:val="24"/>
        </w:rPr>
        <w:t xml:space="preserve"> Ltd &amp; </w:t>
      </w:r>
      <w:proofErr w:type="spellStart"/>
      <w:r w:rsidRPr="000960C2">
        <w:rPr>
          <w:rFonts w:ascii="Times New Roman" w:hAnsi="Times New Roman"/>
          <w:b/>
          <w:sz w:val="24"/>
          <w:szCs w:val="24"/>
        </w:rPr>
        <w:t>Anor</w:t>
      </w:r>
      <w:proofErr w:type="spellEnd"/>
      <w:r w:rsidRPr="000960C2">
        <w:rPr>
          <w:rFonts w:ascii="Times New Roman" w:hAnsi="Times New Roman"/>
          <w:b/>
          <w:sz w:val="24"/>
          <w:szCs w:val="24"/>
        </w:rPr>
        <w:t xml:space="preserve"> Vs. </w:t>
      </w:r>
      <w:proofErr w:type="spellStart"/>
      <w:r w:rsidRPr="000960C2">
        <w:rPr>
          <w:rFonts w:ascii="Times New Roman" w:hAnsi="Times New Roman"/>
          <w:b/>
          <w:sz w:val="24"/>
          <w:szCs w:val="24"/>
        </w:rPr>
        <w:t>Ssali</w:t>
      </w:r>
      <w:proofErr w:type="spellEnd"/>
      <w:r w:rsidRPr="000960C2">
        <w:rPr>
          <w:rFonts w:ascii="Times New Roman" w:hAnsi="Times New Roman"/>
          <w:b/>
          <w:sz w:val="24"/>
          <w:szCs w:val="24"/>
        </w:rPr>
        <w:t xml:space="preserve"> &amp; </w:t>
      </w:r>
      <w:proofErr w:type="spellStart"/>
      <w:r w:rsidRPr="000960C2">
        <w:rPr>
          <w:rFonts w:ascii="Times New Roman" w:hAnsi="Times New Roman"/>
          <w:b/>
          <w:sz w:val="24"/>
          <w:szCs w:val="24"/>
        </w:rPr>
        <w:t>Anor</w:t>
      </w:r>
      <w:proofErr w:type="spellEnd"/>
      <w:r w:rsidRPr="000960C2">
        <w:rPr>
          <w:rFonts w:ascii="Times New Roman" w:hAnsi="Times New Roman"/>
          <w:b/>
          <w:sz w:val="24"/>
          <w:szCs w:val="24"/>
        </w:rPr>
        <w:t xml:space="preserve"> HCMA No. 449 of 2013, </w:t>
      </w:r>
      <w:proofErr w:type="spellStart"/>
      <w:r w:rsidRPr="000960C2">
        <w:rPr>
          <w:rFonts w:ascii="Times New Roman" w:hAnsi="Times New Roman"/>
          <w:b/>
          <w:sz w:val="24"/>
          <w:szCs w:val="24"/>
        </w:rPr>
        <w:t>Polyfibre</w:t>
      </w:r>
      <w:proofErr w:type="spellEnd"/>
      <w:r w:rsidRPr="000960C2">
        <w:rPr>
          <w:rFonts w:ascii="Times New Roman" w:hAnsi="Times New Roman"/>
          <w:b/>
          <w:sz w:val="24"/>
          <w:szCs w:val="24"/>
        </w:rPr>
        <w:t xml:space="preserve"> (U) Ltd vs. </w:t>
      </w:r>
      <w:proofErr w:type="spellStart"/>
      <w:r w:rsidRPr="000960C2">
        <w:rPr>
          <w:rFonts w:ascii="Times New Roman" w:hAnsi="Times New Roman"/>
          <w:b/>
          <w:sz w:val="24"/>
          <w:szCs w:val="24"/>
        </w:rPr>
        <w:t>Matovu</w:t>
      </w:r>
      <w:proofErr w:type="spellEnd"/>
      <w:r w:rsidRPr="000960C2">
        <w:rPr>
          <w:rFonts w:ascii="Times New Roman" w:hAnsi="Times New Roman"/>
          <w:b/>
          <w:sz w:val="24"/>
          <w:szCs w:val="24"/>
        </w:rPr>
        <w:t xml:space="preserve"> Paul &amp; 3 </w:t>
      </w:r>
      <w:proofErr w:type="spellStart"/>
      <w:r w:rsidRPr="000960C2">
        <w:rPr>
          <w:rFonts w:ascii="Times New Roman" w:hAnsi="Times New Roman"/>
          <w:b/>
          <w:sz w:val="24"/>
          <w:szCs w:val="24"/>
        </w:rPr>
        <w:t>Ors</w:t>
      </w:r>
      <w:proofErr w:type="spellEnd"/>
      <w:r w:rsidRPr="000960C2">
        <w:rPr>
          <w:rFonts w:ascii="Times New Roman" w:hAnsi="Times New Roman"/>
          <w:b/>
          <w:sz w:val="24"/>
          <w:szCs w:val="24"/>
        </w:rPr>
        <w:t xml:space="preserve"> HCCS No. 412 </w:t>
      </w:r>
      <w:r w:rsidRPr="000960C2">
        <w:rPr>
          <w:rFonts w:ascii="Times New Roman" w:hAnsi="Times New Roman"/>
          <w:sz w:val="24"/>
          <w:szCs w:val="24"/>
        </w:rPr>
        <w:t>and</w:t>
      </w:r>
      <w:r w:rsidRPr="000960C2">
        <w:rPr>
          <w:rFonts w:ascii="Times New Roman" w:hAnsi="Times New Roman"/>
          <w:b/>
          <w:sz w:val="24"/>
          <w:szCs w:val="24"/>
        </w:rPr>
        <w:t xml:space="preserve"> Henry N.K. </w:t>
      </w:r>
      <w:proofErr w:type="spellStart"/>
      <w:r w:rsidRPr="000960C2">
        <w:rPr>
          <w:rFonts w:ascii="Times New Roman" w:hAnsi="Times New Roman"/>
          <w:b/>
          <w:sz w:val="24"/>
          <w:szCs w:val="24"/>
        </w:rPr>
        <w:t>Wabui</w:t>
      </w:r>
      <w:proofErr w:type="spellEnd"/>
      <w:r w:rsidRPr="000960C2">
        <w:rPr>
          <w:rFonts w:ascii="Times New Roman" w:hAnsi="Times New Roman"/>
          <w:b/>
          <w:sz w:val="24"/>
          <w:szCs w:val="24"/>
        </w:rPr>
        <w:t xml:space="preserve"> &amp; </w:t>
      </w:r>
      <w:proofErr w:type="spellStart"/>
      <w:r w:rsidRPr="000960C2">
        <w:rPr>
          <w:rFonts w:ascii="Times New Roman" w:hAnsi="Times New Roman"/>
          <w:b/>
          <w:sz w:val="24"/>
          <w:szCs w:val="24"/>
        </w:rPr>
        <w:t>Anor</w:t>
      </w:r>
      <w:proofErr w:type="spellEnd"/>
      <w:r w:rsidRPr="000960C2">
        <w:rPr>
          <w:rFonts w:ascii="Times New Roman" w:hAnsi="Times New Roman"/>
          <w:b/>
          <w:sz w:val="24"/>
          <w:szCs w:val="24"/>
        </w:rPr>
        <w:t xml:space="preserve"> Vs. Rogers </w:t>
      </w:r>
      <w:proofErr w:type="spellStart"/>
      <w:r w:rsidRPr="000960C2">
        <w:rPr>
          <w:rFonts w:ascii="Times New Roman" w:hAnsi="Times New Roman"/>
          <w:b/>
          <w:sz w:val="24"/>
          <w:szCs w:val="24"/>
        </w:rPr>
        <w:t>Hanns</w:t>
      </w:r>
      <w:proofErr w:type="spellEnd"/>
      <w:r w:rsidRPr="000960C2">
        <w:rPr>
          <w:rFonts w:ascii="Times New Roman" w:hAnsi="Times New Roman"/>
          <w:b/>
          <w:sz w:val="24"/>
          <w:szCs w:val="24"/>
        </w:rPr>
        <w:t xml:space="preserve"> </w:t>
      </w:r>
      <w:proofErr w:type="spellStart"/>
      <w:r w:rsidRPr="000960C2">
        <w:rPr>
          <w:rFonts w:ascii="Times New Roman" w:hAnsi="Times New Roman"/>
          <w:b/>
          <w:sz w:val="24"/>
          <w:szCs w:val="24"/>
        </w:rPr>
        <w:t>Kiyonga</w:t>
      </w:r>
      <w:proofErr w:type="spellEnd"/>
      <w:r w:rsidRPr="000960C2">
        <w:rPr>
          <w:rFonts w:ascii="Times New Roman" w:hAnsi="Times New Roman"/>
          <w:b/>
          <w:sz w:val="24"/>
          <w:szCs w:val="24"/>
        </w:rPr>
        <w:t xml:space="preserve"> </w:t>
      </w:r>
      <w:proofErr w:type="spellStart"/>
      <w:r w:rsidRPr="000960C2">
        <w:rPr>
          <w:rFonts w:ascii="Times New Roman" w:hAnsi="Times New Roman"/>
          <w:b/>
          <w:sz w:val="24"/>
          <w:szCs w:val="24"/>
        </w:rPr>
        <w:t>Ddungu</w:t>
      </w:r>
      <w:proofErr w:type="spellEnd"/>
      <w:r w:rsidRPr="000960C2">
        <w:rPr>
          <w:rFonts w:ascii="Times New Roman" w:hAnsi="Times New Roman"/>
          <w:b/>
          <w:sz w:val="24"/>
          <w:szCs w:val="24"/>
        </w:rPr>
        <w:t xml:space="preserve"> &amp; 2 </w:t>
      </w:r>
      <w:proofErr w:type="spellStart"/>
      <w:r w:rsidRPr="000960C2">
        <w:rPr>
          <w:rFonts w:ascii="Times New Roman" w:hAnsi="Times New Roman"/>
          <w:b/>
          <w:sz w:val="24"/>
          <w:szCs w:val="24"/>
        </w:rPr>
        <w:t>Ors</w:t>
      </w:r>
      <w:proofErr w:type="spellEnd"/>
      <w:r w:rsidRPr="000960C2">
        <w:rPr>
          <w:rFonts w:ascii="Times New Roman" w:hAnsi="Times New Roman"/>
          <w:b/>
          <w:sz w:val="24"/>
          <w:szCs w:val="24"/>
        </w:rPr>
        <w:t xml:space="preserve"> HCCS No. 102 of 2009.</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t xml:space="preserve">In reply, counsel for the plaintiff submitted that the limitation time runs 6 years from the date of breach of the contract and not the date of execution. That in any case, the plaintiffs claim against the defendants severally is for the recovery of land which the Limitation Act limits to 12 years.  Counsel for the plaintiff did agree that the sale of the portion of the suit land was made in 2003; it was completed and put in to effect when the Administrators accepted the balance of the consideration agreed upon between the plaintiff and the late Christine </w:t>
      </w:r>
      <w:proofErr w:type="spellStart"/>
      <w:r w:rsidRPr="000960C2">
        <w:rPr>
          <w:rFonts w:ascii="Times New Roman" w:hAnsi="Times New Roman"/>
          <w:sz w:val="24"/>
          <w:szCs w:val="24"/>
        </w:rPr>
        <w:t>Nabaggala</w:t>
      </w:r>
      <w:proofErr w:type="spellEnd"/>
      <w:r w:rsidRPr="000960C2">
        <w:rPr>
          <w:rFonts w:ascii="Times New Roman" w:hAnsi="Times New Roman"/>
          <w:sz w:val="24"/>
          <w:szCs w:val="24"/>
        </w:rPr>
        <w:t xml:space="preserve"> in 2012.    Further that, the 12 years would thus start running in 2012. It was further argued that the plaintiff’s contract with the Late Christine </w:t>
      </w:r>
      <w:proofErr w:type="spellStart"/>
      <w:r w:rsidRPr="000960C2">
        <w:rPr>
          <w:rFonts w:ascii="Times New Roman" w:hAnsi="Times New Roman"/>
          <w:sz w:val="24"/>
          <w:szCs w:val="24"/>
        </w:rPr>
        <w:t>Nabaggala</w:t>
      </w:r>
      <w:proofErr w:type="spellEnd"/>
      <w:r w:rsidRPr="000960C2">
        <w:rPr>
          <w:rFonts w:ascii="Times New Roman" w:hAnsi="Times New Roman"/>
          <w:sz w:val="24"/>
          <w:szCs w:val="24"/>
        </w:rPr>
        <w:t xml:space="preserve"> was open ended and only satisfied when the administrators of her estate were appointed and received the balance in 2012 way before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purports to have purchased the entire interest in the suit land.</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t xml:space="preserve">Counsel further submitted that it is apparent on the plaintiff’s pleadings that the claim is also based on fraudulent dealings on the suit land as against the defendants. The pleadings on record spell out fraud on the part of the defendants and that counsel for the plaintiff failed to appreciate the provisions of </w:t>
      </w:r>
      <w:r w:rsidRPr="000960C2">
        <w:rPr>
          <w:rFonts w:ascii="Times New Roman" w:hAnsi="Times New Roman"/>
          <w:b/>
          <w:sz w:val="24"/>
          <w:szCs w:val="24"/>
        </w:rPr>
        <w:t>Section 25 of the Limitation Act</w:t>
      </w:r>
      <w:r w:rsidRPr="000960C2">
        <w:rPr>
          <w:rFonts w:ascii="Times New Roman" w:hAnsi="Times New Roman"/>
          <w:sz w:val="24"/>
          <w:szCs w:val="24"/>
        </w:rPr>
        <w:t xml:space="preserve"> on that fact.   In addition, counsel generally distinguished the authorities presented for the plaintiff in respect of the objection. </w:t>
      </w:r>
    </w:p>
    <w:p w:rsidR="00EF6A5F" w:rsidRPr="000960C2" w:rsidRDefault="00EF6A5F" w:rsidP="00EF6A5F">
      <w:pPr>
        <w:ind w:left="142"/>
        <w:jc w:val="both"/>
        <w:rPr>
          <w:rFonts w:ascii="Times New Roman" w:hAnsi="Times New Roman"/>
          <w:b/>
          <w:sz w:val="24"/>
          <w:szCs w:val="24"/>
        </w:rPr>
      </w:pPr>
      <w:r w:rsidRPr="000960C2">
        <w:rPr>
          <w:rFonts w:ascii="Times New Roman" w:hAnsi="Times New Roman"/>
          <w:sz w:val="24"/>
          <w:szCs w:val="24"/>
        </w:rPr>
        <w:t>In rejoinder counsel for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contended that the plaintiff could not attempt to recover land whose possession he claims to have acquired in 2000 when he executed the alleged contract and which possession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admits she had in 2011 when she bought the suit property.  That the clear claim of the suit is the enforcement of a promise made in a contract alleged to have been executed in 2000 to give the plaintiff a certificate of title to the land he claims to have acquired.   Further that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did not commit any fraud against the plaintiff and is protected from the plaintiff’s claims by virtue of </w:t>
      </w:r>
      <w:r w:rsidRPr="000960C2">
        <w:rPr>
          <w:rFonts w:ascii="Times New Roman" w:hAnsi="Times New Roman"/>
          <w:b/>
          <w:sz w:val="24"/>
          <w:szCs w:val="24"/>
        </w:rPr>
        <w:t xml:space="preserve">Section 25(d) of the Limitation Act </w:t>
      </w:r>
      <w:r w:rsidRPr="000960C2">
        <w:rPr>
          <w:rFonts w:ascii="Times New Roman" w:hAnsi="Times New Roman"/>
          <w:sz w:val="24"/>
          <w:szCs w:val="24"/>
        </w:rPr>
        <w:t xml:space="preserve">as she is a </w:t>
      </w:r>
      <w:proofErr w:type="spellStart"/>
      <w:r w:rsidRPr="000960C2">
        <w:rPr>
          <w:rFonts w:ascii="Times New Roman" w:hAnsi="Times New Roman"/>
          <w:sz w:val="24"/>
          <w:szCs w:val="24"/>
        </w:rPr>
        <w:t>bonafide</w:t>
      </w:r>
      <w:proofErr w:type="spellEnd"/>
      <w:r w:rsidRPr="000960C2">
        <w:rPr>
          <w:rFonts w:ascii="Times New Roman" w:hAnsi="Times New Roman"/>
          <w:sz w:val="24"/>
          <w:szCs w:val="24"/>
        </w:rPr>
        <w:t xml:space="preserve"> purchaser for value and did not participate in any fraud. Counsel concluded that the plaint does not disclose grounds pleading exemption from limitation and therefore contravenes </w:t>
      </w:r>
      <w:r w:rsidRPr="000960C2">
        <w:rPr>
          <w:rFonts w:ascii="Times New Roman" w:hAnsi="Times New Roman"/>
          <w:b/>
          <w:sz w:val="24"/>
          <w:szCs w:val="24"/>
        </w:rPr>
        <w:t xml:space="preserve">Order 7 Rule 6 and 11(d) </w:t>
      </w:r>
      <w:r w:rsidRPr="000960C2">
        <w:rPr>
          <w:rFonts w:ascii="Times New Roman" w:hAnsi="Times New Roman"/>
          <w:sz w:val="24"/>
          <w:szCs w:val="24"/>
        </w:rPr>
        <w:t>of the</w:t>
      </w:r>
      <w:r w:rsidRPr="000960C2">
        <w:rPr>
          <w:rFonts w:ascii="Times New Roman" w:hAnsi="Times New Roman"/>
          <w:b/>
          <w:sz w:val="24"/>
          <w:szCs w:val="24"/>
        </w:rPr>
        <w:t xml:space="preserve"> CPR.</w:t>
      </w:r>
    </w:p>
    <w:p w:rsidR="00EF6A5F" w:rsidRPr="000960C2" w:rsidRDefault="00EF6A5F" w:rsidP="00EF6A5F">
      <w:pPr>
        <w:ind w:left="142"/>
        <w:jc w:val="both"/>
        <w:rPr>
          <w:rFonts w:ascii="Times New Roman" w:hAnsi="Times New Roman"/>
          <w:i/>
          <w:sz w:val="24"/>
          <w:szCs w:val="24"/>
        </w:rPr>
      </w:pPr>
      <w:r w:rsidRPr="000960C2">
        <w:rPr>
          <w:rFonts w:ascii="Times New Roman" w:hAnsi="Times New Roman"/>
          <w:b/>
          <w:sz w:val="24"/>
          <w:szCs w:val="24"/>
        </w:rPr>
        <w:t xml:space="preserve">Section 3 (1) (a) of the Limitation Act </w:t>
      </w:r>
      <w:r w:rsidRPr="000960C2">
        <w:rPr>
          <w:rFonts w:ascii="Times New Roman" w:hAnsi="Times New Roman"/>
          <w:sz w:val="24"/>
          <w:szCs w:val="24"/>
        </w:rPr>
        <w:t xml:space="preserve">stipulates that </w:t>
      </w:r>
      <w:r w:rsidRPr="000960C2">
        <w:rPr>
          <w:rFonts w:ascii="Times New Roman" w:hAnsi="Times New Roman"/>
          <w:i/>
          <w:sz w:val="24"/>
          <w:szCs w:val="24"/>
        </w:rPr>
        <w:t>no action founded in contract shall be brought after the expiration of 6 years from the date on which the cause of action arose</w:t>
      </w:r>
      <w:r w:rsidRPr="000960C2">
        <w:rPr>
          <w:rFonts w:ascii="Times New Roman" w:hAnsi="Times New Roman"/>
          <w:sz w:val="24"/>
          <w:szCs w:val="24"/>
        </w:rPr>
        <w:t xml:space="preserve">.  Similarly Section 5 of the Limitation Act limits actions for recovery of land to 12 years. </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t xml:space="preserve"> In the case of </w:t>
      </w:r>
      <w:proofErr w:type="spellStart"/>
      <w:r w:rsidRPr="000960C2">
        <w:rPr>
          <w:rFonts w:ascii="Times New Roman" w:hAnsi="Times New Roman"/>
          <w:b/>
          <w:sz w:val="24"/>
          <w:szCs w:val="24"/>
        </w:rPr>
        <w:t>Madvani</w:t>
      </w:r>
      <w:proofErr w:type="spellEnd"/>
      <w:r w:rsidRPr="000960C2">
        <w:rPr>
          <w:rFonts w:ascii="Times New Roman" w:hAnsi="Times New Roman"/>
          <w:b/>
          <w:sz w:val="24"/>
          <w:szCs w:val="24"/>
        </w:rPr>
        <w:t xml:space="preserve"> International S.A Vs. Attorney General CACA No. 48 of 2004</w:t>
      </w:r>
      <w:r w:rsidRPr="000960C2">
        <w:rPr>
          <w:rFonts w:ascii="Times New Roman" w:hAnsi="Times New Roman"/>
          <w:sz w:val="24"/>
          <w:szCs w:val="24"/>
        </w:rPr>
        <w:t xml:space="preserve"> and </w:t>
      </w:r>
      <w:proofErr w:type="spellStart"/>
      <w:r w:rsidRPr="000960C2">
        <w:rPr>
          <w:rFonts w:ascii="Times New Roman" w:hAnsi="Times New Roman"/>
          <w:b/>
          <w:sz w:val="24"/>
          <w:szCs w:val="24"/>
        </w:rPr>
        <w:t>Polyfibre</w:t>
      </w:r>
      <w:proofErr w:type="spellEnd"/>
      <w:r w:rsidRPr="000960C2">
        <w:rPr>
          <w:rFonts w:ascii="Times New Roman" w:hAnsi="Times New Roman"/>
          <w:b/>
          <w:sz w:val="24"/>
          <w:szCs w:val="24"/>
        </w:rPr>
        <w:t xml:space="preserve"> (U) Ltd </w:t>
      </w:r>
      <w:proofErr w:type="gramStart"/>
      <w:r w:rsidRPr="000960C2">
        <w:rPr>
          <w:rFonts w:ascii="Times New Roman" w:hAnsi="Times New Roman"/>
          <w:b/>
          <w:sz w:val="24"/>
          <w:szCs w:val="24"/>
        </w:rPr>
        <w:t>Vs</w:t>
      </w:r>
      <w:proofErr w:type="gramEnd"/>
      <w:r w:rsidRPr="000960C2">
        <w:rPr>
          <w:rFonts w:ascii="Times New Roman" w:hAnsi="Times New Roman"/>
          <w:b/>
          <w:sz w:val="24"/>
          <w:szCs w:val="24"/>
        </w:rPr>
        <w:t xml:space="preserve">. </w:t>
      </w:r>
      <w:proofErr w:type="spellStart"/>
      <w:r w:rsidRPr="000960C2">
        <w:rPr>
          <w:rFonts w:ascii="Times New Roman" w:hAnsi="Times New Roman"/>
          <w:b/>
          <w:sz w:val="24"/>
          <w:szCs w:val="24"/>
        </w:rPr>
        <w:t>Matovu</w:t>
      </w:r>
      <w:proofErr w:type="spellEnd"/>
      <w:r w:rsidRPr="000960C2">
        <w:rPr>
          <w:rFonts w:ascii="Times New Roman" w:hAnsi="Times New Roman"/>
          <w:b/>
          <w:sz w:val="24"/>
          <w:szCs w:val="24"/>
        </w:rPr>
        <w:t xml:space="preserve"> Paul &amp; 3 </w:t>
      </w:r>
      <w:proofErr w:type="spellStart"/>
      <w:r w:rsidRPr="000960C2">
        <w:rPr>
          <w:rFonts w:ascii="Times New Roman" w:hAnsi="Times New Roman"/>
          <w:b/>
          <w:sz w:val="24"/>
          <w:szCs w:val="24"/>
        </w:rPr>
        <w:t>Ors</w:t>
      </w:r>
      <w:proofErr w:type="spellEnd"/>
      <w:r w:rsidRPr="000960C2">
        <w:rPr>
          <w:rFonts w:ascii="Times New Roman" w:hAnsi="Times New Roman"/>
          <w:b/>
          <w:sz w:val="24"/>
          <w:szCs w:val="24"/>
        </w:rPr>
        <w:t xml:space="preserve"> (supra) </w:t>
      </w:r>
      <w:r w:rsidRPr="000960C2">
        <w:rPr>
          <w:rFonts w:ascii="Times New Roman" w:hAnsi="Times New Roman"/>
          <w:sz w:val="24"/>
          <w:szCs w:val="24"/>
        </w:rPr>
        <w:t>that was cited by counsel for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it was held that </w:t>
      </w:r>
      <w:r w:rsidRPr="000960C2">
        <w:rPr>
          <w:rFonts w:ascii="Times New Roman" w:hAnsi="Times New Roman"/>
          <w:i/>
          <w:sz w:val="24"/>
          <w:szCs w:val="24"/>
        </w:rPr>
        <w:t>in considering whether a suit is barred by any law court looks at the pleadings only, and no evidence is required</w:t>
      </w:r>
      <w:r w:rsidRPr="000960C2">
        <w:rPr>
          <w:rFonts w:ascii="Times New Roman" w:hAnsi="Times New Roman"/>
          <w:sz w:val="24"/>
          <w:szCs w:val="24"/>
        </w:rPr>
        <w:t>.</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lastRenderedPageBreak/>
        <w:t xml:space="preserve">According to paragraph 5 of the plaint, the plaintiff and the Late Christine </w:t>
      </w:r>
      <w:proofErr w:type="spellStart"/>
      <w:r w:rsidRPr="000960C2">
        <w:rPr>
          <w:rFonts w:ascii="Times New Roman" w:hAnsi="Times New Roman"/>
          <w:sz w:val="24"/>
          <w:szCs w:val="24"/>
        </w:rPr>
        <w:t>Nabaggala</w:t>
      </w:r>
      <w:proofErr w:type="spellEnd"/>
      <w:r w:rsidRPr="000960C2">
        <w:rPr>
          <w:rFonts w:ascii="Times New Roman" w:hAnsi="Times New Roman"/>
          <w:sz w:val="24"/>
          <w:szCs w:val="24"/>
        </w:rPr>
        <w:t xml:space="preserve"> entered into a contract for the sale of land on 2/7/2000 where it was agreed that the plaintiff would pay the balance after acquiring a title from the vendor. However the late Christine </w:t>
      </w:r>
      <w:proofErr w:type="spellStart"/>
      <w:r w:rsidRPr="000960C2">
        <w:rPr>
          <w:rFonts w:ascii="Times New Roman" w:hAnsi="Times New Roman"/>
          <w:sz w:val="24"/>
          <w:szCs w:val="24"/>
        </w:rPr>
        <w:t>Nabaggala</w:t>
      </w:r>
      <w:proofErr w:type="spellEnd"/>
      <w:r w:rsidRPr="000960C2">
        <w:rPr>
          <w:rFonts w:ascii="Times New Roman" w:hAnsi="Times New Roman"/>
          <w:sz w:val="24"/>
          <w:szCs w:val="24"/>
        </w:rPr>
        <w:t xml:space="preserve"> died before the plaintiff obtained the title from her. That the 2</w:t>
      </w:r>
      <w:r w:rsidRPr="000960C2">
        <w:rPr>
          <w:rFonts w:ascii="Times New Roman" w:hAnsi="Times New Roman"/>
          <w:sz w:val="24"/>
          <w:szCs w:val="24"/>
          <w:vertAlign w:val="superscript"/>
        </w:rPr>
        <w:t>nd</w:t>
      </w:r>
      <w:r w:rsidRPr="000960C2">
        <w:rPr>
          <w:rFonts w:ascii="Times New Roman" w:hAnsi="Times New Roman"/>
          <w:sz w:val="24"/>
          <w:szCs w:val="24"/>
        </w:rPr>
        <w:t>, 3</w:t>
      </w:r>
      <w:r w:rsidRPr="000960C2">
        <w:rPr>
          <w:rFonts w:ascii="Times New Roman" w:hAnsi="Times New Roman"/>
          <w:sz w:val="24"/>
          <w:szCs w:val="24"/>
          <w:vertAlign w:val="superscript"/>
        </w:rPr>
        <w:t>rd</w:t>
      </w:r>
      <w:r w:rsidRPr="000960C2">
        <w:rPr>
          <w:rFonts w:ascii="Times New Roman" w:hAnsi="Times New Roman"/>
          <w:sz w:val="24"/>
          <w:szCs w:val="24"/>
        </w:rPr>
        <w:t xml:space="preserve"> and 4</w:t>
      </w:r>
      <w:r w:rsidRPr="000960C2">
        <w:rPr>
          <w:rFonts w:ascii="Times New Roman" w:hAnsi="Times New Roman"/>
          <w:sz w:val="24"/>
          <w:szCs w:val="24"/>
          <w:vertAlign w:val="superscript"/>
        </w:rPr>
        <w:t>th</w:t>
      </w:r>
      <w:r w:rsidRPr="000960C2">
        <w:rPr>
          <w:rFonts w:ascii="Times New Roman" w:hAnsi="Times New Roman"/>
          <w:sz w:val="24"/>
          <w:szCs w:val="24"/>
        </w:rPr>
        <w:t xml:space="preserve"> defendants were then granted Letters of Administration to the deceased’s estate and agreed to conclude the sale in the terms previously agreed upon.  That after obtaining the balance of the purchase price from the plaintiff on 29/2/2012, the 2</w:t>
      </w:r>
      <w:r w:rsidRPr="000960C2">
        <w:rPr>
          <w:rFonts w:ascii="Times New Roman" w:hAnsi="Times New Roman"/>
          <w:sz w:val="24"/>
          <w:szCs w:val="24"/>
          <w:vertAlign w:val="superscript"/>
        </w:rPr>
        <w:t>nd</w:t>
      </w:r>
      <w:r w:rsidRPr="000960C2">
        <w:rPr>
          <w:rFonts w:ascii="Times New Roman" w:hAnsi="Times New Roman"/>
          <w:sz w:val="24"/>
          <w:szCs w:val="24"/>
        </w:rPr>
        <w:t>, 3</w:t>
      </w:r>
      <w:r w:rsidRPr="000960C2">
        <w:rPr>
          <w:rFonts w:ascii="Times New Roman" w:hAnsi="Times New Roman"/>
          <w:sz w:val="24"/>
          <w:szCs w:val="24"/>
          <w:vertAlign w:val="superscript"/>
        </w:rPr>
        <w:t>rd</w:t>
      </w:r>
      <w:r w:rsidRPr="000960C2">
        <w:rPr>
          <w:rFonts w:ascii="Times New Roman" w:hAnsi="Times New Roman"/>
          <w:sz w:val="24"/>
          <w:szCs w:val="24"/>
        </w:rPr>
        <w:t xml:space="preserve"> and 4</w:t>
      </w:r>
      <w:r w:rsidRPr="000960C2">
        <w:rPr>
          <w:rFonts w:ascii="Times New Roman" w:hAnsi="Times New Roman"/>
          <w:sz w:val="24"/>
          <w:szCs w:val="24"/>
          <w:vertAlign w:val="superscript"/>
        </w:rPr>
        <w:t>th</w:t>
      </w:r>
      <w:r w:rsidRPr="000960C2">
        <w:rPr>
          <w:rFonts w:ascii="Times New Roman" w:hAnsi="Times New Roman"/>
          <w:sz w:val="24"/>
          <w:szCs w:val="24"/>
        </w:rPr>
        <w:t xml:space="preserve"> defendants surrendered duly signed transfer and mutation forms and pledged to surrender the original Certificate of Title to the plaintiff not later than 30/5/2012.  In my view, the facts reveal that the contract was one for the sale of land and not a mere chattel.  Even if I were to believe that it was an ordinary contract (and thus falling under the ambit of S.3 of the Limitation Act) time would begin to run against the plaintiff after the breach by the administrators i.e. after 30/5/12.  However in my view, the transaction was completed by the administrators of the estate when the administrators allegedly handed over to the plaintiff the instruments of transfer.  The plaintiff is deemed (and this will need to be proved by evidence) that he acquired an unregistered interest in part of the suit land and it is proved that it was wrongly sold to another party, for its recovery.  Indeed the claims in the plaint seek inter-alia for recovery of that portion of the suit land that the plaintiff feels belongs to him by virtue of a contract for sale of land when the plaintiff’s interest is alleged to have been sold to another and he then sought for its recovery.  Therefore, I find that this claim falls under the ambit of Section 5 of the Limitation Act and the plaintiff would thus have 12 years within which to lodge his claim. </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t xml:space="preserve">In answer to the question of when the time begins to run against the plaintiff, I must again restrict myself to the pleadings.  It is alleged in the plaint that the late Christine </w:t>
      </w:r>
      <w:proofErr w:type="spellStart"/>
      <w:r w:rsidRPr="000960C2">
        <w:rPr>
          <w:rFonts w:ascii="Times New Roman" w:hAnsi="Times New Roman"/>
          <w:sz w:val="24"/>
          <w:szCs w:val="24"/>
        </w:rPr>
        <w:t>Nabaggala</w:t>
      </w:r>
      <w:proofErr w:type="spellEnd"/>
      <w:r w:rsidRPr="000960C2">
        <w:rPr>
          <w:rFonts w:ascii="Times New Roman" w:hAnsi="Times New Roman"/>
          <w:sz w:val="24"/>
          <w:szCs w:val="24"/>
        </w:rPr>
        <w:t xml:space="preserve"> died before completing the contract for part of the suit land.    Legally, the plaintiff had to wait, until administrators were appointed in respect of her estate for the purchase to be concluded.  Indeed, the plaintiff did pay the balance of the consideration to the 2</w:t>
      </w:r>
      <w:r w:rsidRPr="000960C2">
        <w:rPr>
          <w:rFonts w:ascii="Times New Roman" w:hAnsi="Times New Roman"/>
          <w:sz w:val="24"/>
          <w:szCs w:val="24"/>
          <w:vertAlign w:val="superscript"/>
        </w:rPr>
        <w:t>nd</w:t>
      </w:r>
      <w:r w:rsidRPr="000960C2">
        <w:rPr>
          <w:rFonts w:ascii="Times New Roman" w:hAnsi="Times New Roman"/>
          <w:sz w:val="24"/>
          <w:szCs w:val="24"/>
        </w:rPr>
        <w:t>, 3</w:t>
      </w:r>
      <w:r w:rsidRPr="000960C2">
        <w:rPr>
          <w:rFonts w:ascii="Times New Roman" w:hAnsi="Times New Roman"/>
          <w:sz w:val="24"/>
          <w:szCs w:val="24"/>
          <w:vertAlign w:val="superscript"/>
        </w:rPr>
        <w:t>rd</w:t>
      </w:r>
      <w:r w:rsidRPr="000960C2">
        <w:rPr>
          <w:rFonts w:ascii="Times New Roman" w:hAnsi="Times New Roman"/>
          <w:sz w:val="24"/>
          <w:szCs w:val="24"/>
        </w:rPr>
        <w:t xml:space="preserve"> and 4</w:t>
      </w:r>
      <w:r w:rsidRPr="000960C2">
        <w:rPr>
          <w:rFonts w:ascii="Times New Roman" w:hAnsi="Times New Roman"/>
          <w:sz w:val="24"/>
          <w:szCs w:val="24"/>
          <w:vertAlign w:val="superscript"/>
        </w:rPr>
        <w:t>th</w:t>
      </w:r>
      <w:r w:rsidRPr="000960C2">
        <w:rPr>
          <w:rFonts w:ascii="Times New Roman" w:hAnsi="Times New Roman"/>
          <w:sz w:val="24"/>
          <w:szCs w:val="24"/>
        </w:rPr>
        <w:t xml:space="preserve"> defendants, who then allegedly handed over to him the instruments of transfer.    However instead of fulfilling the contract, the 2</w:t>
      </w:r>
      <w:r w:rsidRPr="000960C2">
        <w:rPr>
          <w:rFonts w:ascii="Times New Roman" w:hAnsi="Times New Roman"/>
          <w:sz w:val="24"/>
          <w:szCs w:val="24"/>
          <w:vertAlign w:val="superscript"/>
        </w:rPr>
        <w:t>nd</w:t>
      </w:r>
      <w:r w:rsidRPr="000960C2">
        <w:rPr>
          <w:rFonts w:ascii="Times New Roman" w:hAnsi="Times New Roman"/>
          <w:sz w:val="24"/>
          <w:szCs w:val="24"/>
        </w:rPr>
        <w:t>, 3</w:t>
      </w:r>
      <w:r w:rsidRPr="000960C2">
        <w:rPr>
          <w:rFonts w:ascii="Times New Roman" w:hAnsi="Times New Roman"/>
          <w:sz w:val="24"/>
          <w:szCs w:val="24"/>
          <w:vertAlign w:val="superscript"/>
        </w:rPr>
        <w:t>rd</w:t>
      </w:r>
      <w:r w:rsidRPr="000960C2">
        <w:rPr>
          <w:rFonts w:ascii="Times New Roman" w:hAnsi="Times New Roman"/>
          <w:sz w:val="24"/>
          <w:szCs w:val="24"/>
        </w:rPr>
        <w:t xml:space="preserve"> and 4</w:t>
      </w:r>
      <w:r w:rsidRPr="000960C2">
        <w:rPr>
          <w:rFonts w:ascii="Times New Roman" w:hAnsi="Times New Roman"/>
          <w:sz w:val="24"/>
          <w:szCs w:val="24"/>
          <w:vertAlign w:val="superscript"/>
        </w:rPr>
        <w:t>th</w:t>
      </w:r>
      <w:r w:rsidRPr="000960C2">
        <w:rPr>
          <w:rFonts w:ascii="Times New Roman" w:hAnsi="Times New Roman"/>
          <w:sz w:val="24"/>
          <w:szCs w:val="24"/>
        </w:rPr>
        <w:t xml:space="preserve"> defendants allegedly went ahead and sold the suit land to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The cause of action in this respect arose when the 2</w:t>
      </w:r>
      <w:r w:rsidRPr="000960C2">
        <w:rPr>
          <w:rFonts w:ascii="Times New Roman" w:hAnsi="Times New Roman"/>
          <w:sz w:val="24"/>
          <w:szCs w:val="24"/>
          <w:vertAlign w:val="superscript"/>
        </w:rPr>
        <w:t>nd</w:t>
      </w:r>
      <w:r w:rsidRPr="000960C2">
        <w:rPr>
          <w:rFonts w:ascii="Times New Roman" w:hAnsi="Times New Roman"/>
          <w:sz w:val="24"/>
          <w:szCs w:val="24"/>
        </w:rPr>
        <w:t>, 3</w:t>
      </w:r>
      <w:r w:rsidRPr="000960C2">
        <w:rPr>
          <w:rFonts w:ascii="Times New Roman" w:hAnsi="Times New Roman"/>
          <w:sz w:val="24"/>
          <w:szCs w:val="24"/>
          <w:vertAlign w:val="superscript"/>
        </w:rPr>
        <w:t>rd</w:t>
      </w:r>
      <w:r w:rsidRPr="000960C2">
        <w:rPr>
          <w:rFonts w:ascii="Times New Roman" w:hAnsi="Times New Roman"/>
          <w:sz w:val="24"/>
          <w:szCs w:val="24"/>
        </w:rPr>
        <w:t xml:space="preserve"> and 4</w:t>
      </w:r>
      <w:r w:rsidRPr="000960C2">
        <w:rPr>
          <w:rFonts w:ascii="Times New Roman" w:hAnsi="Times New Roman"/>
          <w:sz w:val="24"/>
          <w:szCs w:val="24"/>
          <w:vertAlign w:val="superscript"/>
        </w:rPr>
        <w:t>th</w:t>
      </w:r>
      <w:r w:rsidRPr="000960C2">
        <w:rPr>
          <w:rFonts w:ascii="Times New Roman" w:hAnsi="Times New Roman"/>
          <w:sz w:val="24"/>
          <w:szCs w:val="24"/>
        </w:rPr>
        <w:t xml:space="preserve"> defendant went ahead and sold the suit land including the plaintiff’s portion to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defendant who then procured registration on 3/8/2012. Therefore the 12 years in </w:t>
      </w:r>
      <w:r w:rsidRPr="000960C2">
        <w:rPr>
          <w:rFonts w:ascii="Times New Roman" w:hAnsi="Times New Roman"/>
          <w:b/>
          <w:sz w:val="24"/>
          <w:szCs w:val="24"/>
        </w:rPr>
        <w:t>Section 5</w:t>
      </w:r>
      <w:r w:rsidRPr="000960C2">
        <w:rPr>
          <w:rFonts w:ascii="Times New Roman" w:hAnsi="Times New Roman"/>
          <w:sz w:val="24"/>
          <w:szCs w:val="24"/>
        </w:rPr>
        <w:t xml:space="preserve"> would begin to run from the time when the administrators failed to hand over the certificate of title to the plaintiff or when the suit land was sold to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in 2012.</w:t>
      </w:r>
    </w:p>
    <w:p w:rsidR="00EF6A5F" w:rsidRPr="000960C2" w:rsidRDefault="00EF6A5F" w:rsidP="00EF6A5F">
      <w:pPr>
        <w:ind w:left="142"/>
        <w:jc w:val="both"/>
        <w:rPr>
          <w:rFonts w:ascii="Times New Roman" w:hAnsi="Times New Roman"/>
          <w:sz w:val="24"/>
          <w:szCs w:val="24"/>
        </w:rPr>
      </w:pPr>
      <w:r w:rsidRPr="000960C2">
        <w:rPr>
          <w:rFonts w:ascii="Times New Roman" w:hAnsi="Times New Roman"/>
          <w:sz w:val="24"/>
          <w:szCs w:val="24"/>
        </w:rPr>
        <w:t xml:space="preserve">Even if the above arguments are doubtful, the plaintiff pleaded fraud in paragraph 8 of the plaint.  According to Section 25 of the Limitation Act, fraud presents a legal </w:t>
      </w:r>
      <w:proofErr w:type="spellStart"/>
      <w:r w:rsidRPr="000960C2">
        <w:rPr>
          <w:rFonts w:ascii="Times New Roman" w:hAnsi="Times New Roman"/>
          <w:sz w:val="24"/>
          <w:szCs w:val="24"/>
        </w:rPr>
        <w:t>exemptionto</w:t>
      </w:r>
      <w:proofErr w:type="spellEnd"/>
      <w:r w:rsidRPr="000960C2">
        <w:rPr>
          <w:rFonts w:ascii="Times New Roman" w:hAnsi="Times New Roman"/>
          <w:sz w:val="24"/>
          <w:szCs w:val="24"/>
        </w:rPr>
        <w:t xml:space="preserve"> limitation.  The court in </w:t>
      </w:r>
      <w:proofErr w:type="spellStart"/>
      <w:r w:rsidRPr="000960C2">
        <w:rPr>
          <w:rFonts w:ascii="Times New Roman" w:hAnsi="Times New Roman"/>
          <w:b/>
          <w:sz w:val="24"/>
          <w:szCs w:val="24"/>
        </w:rPr>
        <w:t>Hammaann</w:t>
      </w:r>
      <w:proofErr w:type="spellEnd"/>
      <w:r w:rsidRPr="000960C2">
        <w:rPr>
          <w:rFonts w:ascii="Times New Roman" w:hAnsi="Times New Roman"/>
          <w:b/>
          <w:sz w:val="24"/>
          <w:szCs w:val="24"/>
        </w:rPr>
        <w:t xml:space="preserve"> Ltd &amp; </w:t>
      </w:r>
      <w:proofErr w:type="spellStart"/>
      <w:r w:rsidRPr="000960C2">
        <w:rPr>
          <w:rFonts w:ascii="Times New Roman" w:hAnsi="Times New Roman"/>
          <w:b/>
          <w:sz w:val="24"/>
          <w:szCs w:val="24"/>
        </w:rPr>
        <w:t>Anor</w:t>
      </w:r>
      <w:proofErr w:type="spellEnd"/>
      <w:r w:rsidRPr="000960C2">
        <w:rPr>
          <w:rFonts w:ascii="Times New Roman" w:hAnsi="Times New Roman"/>
          <w:b/>
          <w:sz w:val="24"/>
          <w:szCs w:val="24"/>
        </w:rPr>
        <w:t xml:space="preserve"> </w:t>
      </w:r>
      <w:proofErr w:type="gramStart"/>
      <w:r w:rsidRPr="000960C2">
        <w:rPr>
          <w:rFonts w:ascii="Times New Roman" w:hAnsi="Times New Roman"/>
          <w:b/>
          <w:sz w:val="24"/>
          <w:szCs w:val="24"/>
        </w:rPr>
        <w:t>Vs</w:t>
      </w:r>
      <w:proofErr w:type="gramEnd"/>
      <w:r w:rsidRPr="000960C2">
        <w:rPr>
          <w:rFonts w:ascii="Times New Roman" w:hAnsi="Times New Roman"/>
          <w:b/>
          <w:sz w:val="24"/>
          <w:szCs w:val="24"/>
        </w:rPr>
        <w:t xml:space="preserve">. </w:t>
      </w:r>
      <w:proofErr w:type="spellStart"/>
      <w:r w:rsidRPr="000960C2">
        <w:rPr>
          <w:rFonts w:ascii="Times New Roman" w:hAnsi="Times New Roman"/>
          <w:b/>
          <w:sz w:val="24"/>
          <w:szCs w:val="24"/>
        </w:rPr>
        <w:t>Ssali</w:t>
      </w:r>
      <w:proofErr w:type="spellEnd"/>
      <w:r w:rsidRPr="000960C2">
        <w:rPr>
          <w:rFonts w:ascii="Times New Roman" w:hAnsi="Times New Roman"/>
          <w:b/>
          <w:sz w:val="24"/>
          <w:szCs w:val="24"/>
        </w:rPr>
        <w:t xml:space="preserve"> &amp; </w:t>
      </w:r>
      <w:proofErr w:type="spellStart"/>
      <w:r w:rsidRPr="000960C2">
        <w:rPr>
          <w:rFonts w:ascii="Times New Roman" w:hAnsi="Times New Roman"/>
          <w:b/>
          <w:sz w:val="24"/>
          <w:szCs w:val="24"/>
        </w:rPr>
        <w:t>Anor</w:t>
      </w:r>
      <w:proofErr w:type="spellEnd"/>
      <w:r w:rsidRPr="000960C2">
        <w:rPr>
          <w:rFonts w:ascii="Times New Roman" w:hAnsi="Times New Roman"/>
          <w:b/>
          <w:sz w:val="24"/>
          <w:szCs w:val="24"/>
        </w:rPr>
        <w:t xml:space="preserve"> (supra), </w:t>
      </w:r>
      <w:r w:rsidRPr="000960C2">
        <w:rPr>
          <w:rFonts w:ascii="Times New Roman" w:hAnsi="Times New Roman"/>
          <w:sz w:val="24"/>
          <w:szCs w:val="24"/>
        </w:rPr>
        <w:t xml:space="preserve">  when interpreting that section was of the view that:-</w:t>
      </w:r>
    </w:p>
    <w:p w:rsidR="00EF6A5F" w:rsidRPr="000960C2" w:rsidRDefault="00EF6A5F" w:rsidP="00EF6A5F">
      <w:pPr>
        <w:ind w:left="720"/>
        <w:jc w:val="both"/>
        <w:rPr>
          <w:rFonts w:ascii="Times New Roman" w:hAnsi="Times New Roman"/>
          <w:i/>
          <w:sz w:val="24"/>
          <w:szCs w:val="24"/>
        </w:rPr>
      </w:pPr>
      <w:r w:rsidRPr="000960C2">
        <w:rPr>
          <w:rFonts w:ascii="Times New Roman" w:hAnsi="Times New Roman"/>
          <w:i/>
          <w:sz w:val="24"/>
          <w:szCs w:val="24"/>
        </w:rPr>
        <w:t xml:space="preserve">“…the main thrust of the provision is essentially that in actions founded on fraud, the limitation period does not begin to run until such a time when the plaintiff is invariably </w:t>
      </w:r>
      <w:r w:rsidRPr="000960C2">
        <w:rPr>
          <w:rFonts w:ascii="Times New Roman" w:hAnsi="Times New Roman"/>
          <w:i/>
          <w:sz w:val="24"/>
          <w:szCs w:val="24"/>
        </w:rPr>
        <w:lastRenderedPageBreak/>
        <w:t>aware, or could have with reasonable diligence been aware of the fraud. This must be pleaded, and it is premised on such a plea that court may exercise its power under Section 2 not to reckon with the period the plaintiff was unaware of the fraud in computation of the limitation period…”</w:t>
      </w:r>
    </w:p>
    <w:p w:rsidR="00EF6A5F" w:rsidRPr="000960C2" w:rsidRDefault="00EF6A5F" w:rsidP="00EF6A5F">
      <w:pPr>
        <w:jc w:val="both"/>
        <w:rPr>
          <w:rFonts w:ascii="Times New Roman" w:hAnsi="Times New Roman"/>
          <w:sz w:val="24"/>
          <w:szCs w:val="24"/>
        </w:rPr>
      </w:pPr>
      <w:r w:rsidRPr="000960C2">
        <w:rPr>
          <w:rFonts w:ascii="Times New Roman" w:hAnsi="Times New Roman"/>
          <w:sz w:val="24"/>
          <w:szCs w:val="24"/>
        </w:rPr>
        <w:t>The plaintiff did plead and give particulars of fraud in his plaint but did not state when he became aware of it.   A reasonable interpretation of the pleadings would be that the alleged fraud was committed after the administrators came into the picture and sold the suit land to the 1</w:t>
      </w:r>
      <w:r w:rsidRPr="000960C2">
        <w:rPr>
          <w:rFonts w:ascii="Times New Roman" w:hAnsi="Times New Roman"/>
          <w:sz w:val="24"/>
          <w:szCs w:val="24"/>
          <w:vertAlign w:val="superscript"/>
        </w:rPr>
        <w:t>st</w:t>
      </w:r>
      <w:r w:rsidRPr="000960C2">
        <w:rPr>
          <w:rFonts w:ascii="Times New Roman" w:hAnsi="Times New Roman"/>
          <w:sz w:val="24"/>
          <w:szCs w:val="24"/>
        </w:rPr>
        <w:t xml:space="preserve"> defendant.   Regardless of the above, having found that the plaintiff’s claim is founded on recovery of land is not barred by limitation since it was brought before the expiration of 12 years.</w:t>
      </w:r>
    </w:p>
    <w:p w:rsidR="00EF6A5F" w:rsidRPr="000960C2" w:rsidRDefault="00EF6A5F" w:rsidP="00EF6A5F">
      <w:pPr>
        <w:jc w:val="both"/>
        <w:rPr>
          <w:rFonts w:ascii="Times New Roman" w:hAnsi="Times New Roman"/>
          <w:sz w:val="24"/>
          <w:szCs w:val="24"/>
        </w:rPr>
      </w:pPr>
      <w:r w:rsidRPr="000960C2">
        <w:rPr>
          <w:rFonts w:ascii="Times New Roman" w:hAnsi="Times New Roman"/>
          <w:sz w:val="24"/>
          <w:szCs w:val="24"/>
        </w:rPr>
        <w:t xml:space="preserve">The preliminary objection is thereby dismissed with costs.  I direct that the plaintiff collects his costs at the determination of the suit. </w:t>
      </w:r>
    </w:p>
    <w:p w:rsidR="00EF6A5F" w:rsidRPr="000960C2" w:rsidRDefault="00EF6A5F" w:rsidP="00EF6A5F">
      <w:pPr>
        <w:jc w:val="both"/>
        <w:rPr>
          <w:rFonts w:ascii="Times New Roman" w:hAnsi="Times New Roman"/>
          <w:sz w:val="24"/>
          <w:szCs w:val="24"/>
        </w:rPr>
      </w:pPr>
    </w:p>
    <w:p w:rsidR="00EF6A5F" w:rsidRPr="000960C2" w:rsidRDefault="00EF6A5F" w:rsidP="00EF6A5F">
      <w:pPr>
        <w:jc w:val="both"/>
        <w:rPr>
          <w:rFonts w:ascii="Times New Roman" w:hAnsi="Times New Roman"/>
          <w:sz w:val="24"/>
          <w:szCs w:val="24"/>
        </w:rPr>
      </w:pPr>
    </w:p>
    <w:p w:rsidR="00EF6A5F" w:rsidRPr="000960C2" w:rsidRDefault="00EF6A5F" w:rsidP="00EF6A5F">
      <w:pPr>
        <w:pStyle w:val="NoSpacing"/>
        <w:rPr>
          <w:rFonts w:ascii="Times New Roman" w:hAnsi="Times New Roman"/>
          <w:b/>
          <w:sz w:val="24"/>
          <w:szCs w:val="24"/>
        </w:rPr>
      </w:pPr>
      <w:r w:rsidRPr="000960C2">
        <w:rPr>
          <w:rFonts w:ascii="Times New Roman" w:hAnsi="Times New Roman"/>
          <w:b/>
          <w:sz w:val="24"/>
          <w:szCs w:val="24"/>
        </w:rPr>
        <w:t xml:space="preserve">EVA K. LUSWATA </w:t>
      </w:r>
    </w:p>
    <w:p w:rsidR="00EF6A5F" w:rsidRPr="000960C2" w:rsidRDefault="00EF6A5F" w:rsidP="00EF6A5F">
      <w:pPr>
        <w:pStyle w:val="NoSpacing"/>
        <w:rPr>
          <w:rFonts w:ascii="Times New Roman" w:hAnsi="Times New Roman"/>
          <w:b/>
          <w:sz w:val="24"/>
          <w:szCs w:val="24"/>
        </w:rPr>
      </w:pPr>
      <w:r w:rsidRPr="000960C2">
        <w:rPr>
          <w:rFonts w:ascii="Times New Roman" w:hAnsi="Times New Roman"/>
          <w:b/>
          <w:sz w:val="24"/>
          <w:szCs w:val="24"/>
        </w:rPr>
        <w:t>JUDGE</w:t>
      </w:r>
    </w:p>
    <w:p w:rsidR="00EF6A5F" w:rsidRPr="000960C2" w:rsidRDefault="00EF6A5F" w:rsidP="00EF6A5F">
      <w:pPr>
        <w:pStyle w:val="NoSpacing"/>
        <w:rPr>
          <w:rFonts w:ascii="Times New Roman" w:hAnsi="Times New Roman"/>
          <w:b/>
          <w:sz w:val="24"/>
          <w:szCs w:val="24"/>
        </w:rPr>
      </w:pPr>
      <w:r w:rsidRPr="000960C2">
        <w:rPr>
          <w:rFonts w:ascii="Times New Roman" w:hAnsi="Times New Roman"/>
          <w:b/>
          <w:sz w:val="24"/>
          <w:szCs w:val="24"/>
        </w:rPr>
        <w:t>25/02/2014</w:t>
      </w:r>
    </w:p>
    <w:p w:rsidR="0092502B" w:rsidRPr="000960C2" w:rsidRDefault="0092502B">
      <w:pPr>
        <w:rPr>
          <w:rFonts w:ascii="Times New Roman" w:hAnsi="Times New Roman"/>
          <w:sz w:val="24"/>
          <w:szCs w:val="24"/>
        </w:rPr>
      </w:pPr>
    </w:p>
    <w:sectPr w:rsidR="0092502B" w:rsidRPr="0009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125E"/>
    <w:multiLevelType w:val="hybridMultilevel"/>
    <w:tmpl w:val="75E6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5F"/>
    <w:rsid w:val="000960C2"/>
    <w:rsid w:val="0092502B"/>
    <w:rsid w:val="00E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A5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A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2017-01-31T08:42:00Z</dcterms:created>
  <dcterms:modified xsi:type="dcterms:W3CDTF">2017-01-31T08:44:00Z</dcterms:modified>
</cp:coreProperties>
</file>