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533" w:rsidRPr="005B5B0F" w:rsidRDefault="00195533" w:rsidP="00195533">
      <w:pPr>
        <w:jc w:val="center"/>
        <w:rPr>
          <w:rFonts w:ascii="Constantia" w:hAnsi="Constantia"/>
          <w:b/>
          <w:sz w:val="24"/>
          <w:szCs w:val="24"/>
          <w:u w:val="single"/>
        </w:rPr>
      </w:pPr>
      <w:permStart w:id="0" w:edGrp="everyone"/>
      <w:permEnd w:id="0"/>
      <w:r w:rsidRPr="005B5B0F">
        <w:rPr>
          <w:rFonts w:ascii="Constantia" w:hAnsi="Constantia"/>
          <w:b/>
          <w:sz w:val="24"/>
          <w:szCs w:val="24"/>
          <w:u w:val="single"/>
        </w:rPr>
        <w:t>THE REPUBLIC OF UGANDA</w:t>
      </w:r>
    </w:p>
    <w:p w:rsidR="00195533" w:rsidRDefault="00195533" w:rsidP="00195533">
      <w:pPr>
        <w:jc w:val="center"/>
        <w:rPr>
          <w:rFonts w:ascii="Constantia" w:hAnsi="Constantia"/>
          <w:b/>
          <w:sz w:val="24"/>
          <w:szCs w:val="24"/>
          <w:u w:val="single"/>
        </w:rPr>
      </w:pPr>
      <w:r w:rsidRPr="005B5B0F">
        <w:rPr>
          <w:rFonts w:ascii="Constantia" w:hAnsi="Constantia"/>
          <w:b/>
          <w:sz w:val="24"/>
          <w:szCs w:val="24"/>
          <w:u w:val="single"/>
        </w:rPr>
        <w:t>IN THE HIGH COURT OF UGANDA AT KAMPALA</w:t>
      </w:r>
    </w:p>
    <w:p w:rsidR="00D26522" w:rsidRPr="00D26522" w:rsidRDefault="00D26522" w:rsidP="00195533">
      <w:pPr>
        <w:jc w:val="center"/>
        <w:rPr>
          <w:rFonts w:ascii="Constantia" w:hAnsi="Constantia"/>
          <w:b/>
          <w:sz w:val="24"/>
          <w:szCs w:val="24"/>
        </w:rPr>
      </w:pPr>
      <w:r w:rsidRPr="00D26522">
        <w:rPr>
          <w:rFonts w:ascii="Constantia" w:hAnsi="Constantia"/>
          <w:b/>
          <w:sz w:val="24"/>
          <w:szCs w:val="24"/>
        </w:rPr>
        <w:t>(LAND DIVISION)</w:t>
      </w:r>
    </w:p>
    <w:p w:rsidR="00195533" w:rsidRPr="005B5B0F" w:rsidRDefault="00195533" w:rsidP="00195533">
      <w:pPr>
        <w:pStyle w:val="NormalWeb"/>
        <w:jc w:val="center"/>
        <w:rPr>
          <w:rFonts w:ascii="Constantia" w:hAnsi="Constantia"/>
          <w:b/>
          <w:bCs/>
        </w:rPr>
      </w:pPr>
      <w:r>
        <w:rPr>
          <w:rFonts w:ascii="Constantia" w:hAnsi="Constantia"/>
          <w:b/>
          <w:bCs/>
        </w:rPr>
        <w:t>CIVIL SUIT NO. 771</w:t>
      </w:r>
      <w:r w:rsidRPr="005B5B0F">
        <w:rPr>
          <w:rFonts w:ascii="Constantia" w:hAnsi="Constantia"/>
          <w:b/>
          <w:bCs/>
        </w:rPr>
        <w:t xml:space="preserve"> OF 200</w:t>
      </w:r>
      <w:r>
        <w:rPr>
          <w:rFonts w:ascii="Constantia" w:hAnsi="Constantia"/>
          <w:b/>
          <w:bCs/>
        </w:rPr>
        <w:t>7</w:t>
      </w:r>
    </w:p>
    <w:p w:rsidR="00195533" w:rsidRDefault="00195533" w:rsidP="00195533">
      <w:pPr>
        <w:pStyle w:val="NormalWeb"/>
        <w:jc w:val="both"/>
        <w:rPr>
          <w:rFonts w:ascii="Constantia" w:hAnsi="Constantia"/>
          <w:b/>
          <w:bCs/>
        </w:rPr>
      </w:pPr>
      <w:r w:rsidRPr="005B5B0F">
        <w:br/>
      </w:r>
      <w:r>
        <w:rPr>
          <w:rFonts w:ascii="Constantia" w:hAnsi="Constantia"/>
          <w:b/>
          <w:bCs/>
        </w:rPr>
        <w:t>1. KENYENYA WANJALA HERBERT</w:t>
      </w:r>
    </w:p>
    <w:p w:rsidR="00195533" w:rsidRDefault="00195533" w:rsidP="00195533">
      <w:pPr>
        <w:pStyle w:val="NormalWeb"/>
        <w:jc w:val="both"/>
        <w:rPr>
          <w:rFonts w:ascii="Constantia" w:hAnsi="Constantia"/>
          <w:b/>
          <w:bCs/>
        </w:rPr>
      </w:pPr>
      <w:r>
        <w:rPr>
          <w:rFonts w:ascii="Constantia" w:hAnsi="Constantia"/>
          <w:b/>
          <w:bCs/>
        </w:rPr>
        <w:t>2. WERE MIRIA</w:t>
      </w:r>
    </w:p>
    <w:p w:rsidR="00195533" w:rsidRPr="005B5B0F" w:rsidRDefault="00195533" w:rsidP="00195533">
      <w:pPr>
        <w:pStyle w:val="NormalWeb"/>
        <w:jc w:val="both"/>
        <w:rPr>
          <w:rFonts w:ascii="Constantia" w:hAnsi="Constantia"/>
          <w:b/>
          <w:bCs/>
        </w:rPr>
      </w:pPr>
      <w:r>
        <w:rPr>
          <w:rFonts w:ascii="Constantia" w:hAnsi="Constantia"/>
          <w:b/>
          <w:bCs/>
        </w:rPr>
        <w:t>3. ABISAGI NALONGO</w:t>
      </w:r>
      <w:r>
        <w:rPr>
          <w:rFonts w:ascii="Constantia" w:hAnsi="Constantia"/>
          <w:b/>
          <w:bCs/>
        </w:rPr>
        <w:tab/>
        <w:t>……………..</w:t>
      </w:r>
      <w:r w:rsidRPr="005B5B0F">
        <w:rPr>
          <w:rFonts w:ascii="Constantia" w:hAnsi="Constantia"/>
          <w:b/>
          <w:bCs/>
        </w:rPr>
        <w:t>..........................................................</w:t>
      </w:r>
      <w:r w:rsidRPr="005B5B0F">
        <w:rPr>
          <w:rFonts w:ascii="Constantia" w:hAnsi="Constantia"/>
          <w:b/>
          <w:bCs/>
        </w:rPr>
        <w:tab/>
        <w:t>PLAINTIFF</w:t>
      </w:r>
      <w:r>
        <w:rPr>
          <w:rFonts w:ascii="Constantia" w:hAnsi="Constantia"/>
          <w:b/>
          <w:bCs/>
        </w:rPr>
        <w:t>S</w:t>
      </w:r>
    </w:p>
    <w:p w:rsidR="00195533" w:rsidRPr="005B5B0F" w:rsidRDefault="00195533" w:rsidP="00195533">
      <w:pPr>
        <w:pStyle w:val="NormalWeb"/>
        <w:jc w:val="center"/>
        <w:rPr>
          <w:rFonts w:ascii="Constantia" w:hAnsi="Constantia"/>
          <w:b/>
          <w:bCs/>
        </w:rPr>
      </w:pPr>
      <w:r w:rsidRPr="005B5B0F">
        <w:rPr>
          <w:rFonts w:ascii="Constantia" w:hAnsi="Constantia"/>
          <w:b/>
          <w:bCs/>
        </w:rPr>
        <w:t>VERSUS</w:t>
      </w:r>
    </w:p>
    <w:p w:rsidR="00275EC6" w:rsidRDefault="00195533" w:rsidP="00195533">
      <w:pPr>
        <w:pStyle w:val="NormalWeb"/>
        <w:jc w:val="both"/>
        <w:rPr>
          <w:rFonts w:ascii="Constantia" w:hAnsi="Constantia"/>
          <w:b/>
          <w:bCs/>
        </w:rPr>
      </w:pPr>
      <w:r w:rsidRPr="005B5B0F">
        <w:rPr>
          <w:rFonts w:ascii="Constantia" w:hAnsi="Constantia"/>
        </w:rPr>
        <w:br/>
      </w:r>
      <w:r w:rsidRPr="005B5B0F">
        <w:rPr>
          <w:rFonts w:ascii="Constantia" w:hAnsi="Constantia"/>
          <w:b/>
          <w:bCs/>
        </w:rPr>
        <w:t xml:space="preserve">1. </w:t>
      </w:r>
      <w:r w:rsidR="00275EC6">
        <w:rPr>
          <w:rFonts w:ascii="Constantia" w:hAnsi="Constantia"/>
          <w:b/>
          <w:bCs/>
        </w:rPr>
        <w:t>ROBINAH NABIKOLO</w:t>
      </w:r>
    </w:p>
    <w:p w:rsidR="00275EC6" w:rsidRDefault="00275EC6" w:rsidP="00195533">
      <w:pPr>
        <w:pStyle w:val="NormalWeb"/>
        <w:jc w:val="both"/>
        <w:rPr>
          <w:rFonts w:ascii="Constantia" w:hAnsi="Constantia"/>
          <w:b/>
          <w:bCs/>
        </w:rPr>
      </w:pPr>
      <w:r>
        <w:rPr>
          <w:rFonts w:ascii="Constantia" w:hAnsi="Constantia"/>
          <w:b/>
          <w:bCs/>
        </w:rPr>
        <w:t>2. PAULO NADDULI</w:t>
      </w:r>
      <w:permStart w:id="1" w:edGrp="everyone"/>
      <w:permEnd w:id="1"/>
    </w:p>
    <w:p w:rsidR="00275EC6" w:rsidRDefault="00275EC6" w:rsidP="00195533">
      <w:pPr>
        <w:pStyle w:val="NormalWeb"/>
        <w:jc w:val="both"/>
        <w:rPr>
          <w:rFonts w:ascii="Constantia" w:hAnsi="Constantia"/>
          <w:b/>
          <w:bCs/>
        </w:rPr>
      </w:pPr>
      <w:r>
        <w:rPr>
          <w:rFonts w:ascii="Constantia" w:hAnsi="Constantia"/>
          <w:b/>
          <w:bCs/>
        </w:rPr>
        <w:t>3. AKAMADA SEJJUKO</w:t>
      </w:r>
    </w:p>
    <w:p w:rsidR="00275EC6" w:rsidRDefault="00275EC6" w:rsidP="00195533">
      <w:pPr>
        <w:pStyle w:val="NormalWeb"/>
        <w:jc w:val="both"/>
        <w:rPr>
          <w:rFonts w:ascii="Constantia" w:hAnsi="Constantia"/>
          <w:b/>
          <w:bCs/>
        </w:rPr>
      </w:pPr>
      <w:r>
        <w:rPr>
          <w:rFonts w:ascii="Constantia" w:hAnsi="Constantia"/>
          <w:b/>
          <w:bCs/>
        </w:rPr>
        <w:t>4. CLEMENT LULE KANTINTI</w:t>
      </w:r>
    </w:p>
    <w:p w:rsidR="00195533" w:rsidRPr="005B5B0F" w:rsidRDefault="00275EC6" w:rsidP="00195533">
      <w:pPr>
        <w:pStyle w:val="NormalWeb"/>
        <w:jc w:val="both"/>
        <w:rPr>
          <w:rFonts w:ascii="Constantia" w:hAnsi="Constantia"/>
        </w:rPr>
      </w:pPr>
      <w:r>
        <w:rPr>
          <w:rFonts w:ascii="Constantia" w:hAnsi="Constantia"/>
          <w:b/>
          <w:bCs/>
        </w:rPr>
        <w:t>5. COMMISSIONER, LAND REGISTRATION</w:t>
      </w:r>
      <w:r w:rsidR="00195533" w:rsidRPr="005B5B0F">
        <w:rPr>
          <w:rFonts w:ascii="Constantia" w:hAnsi="Constantia"/>
          <w:b/>
          <w:bCs/>
        </w:rPr>
        <w:tab/>
        <w:t>...................................... DEFENDANTS</w:t>
      </w:r>
    </w:p>
    <w:p w:rsidR="00195533" w:rsidRPr="005B5B0F" w:rsidRDefault="00195533" w:rsidP="00195533">
      <w:pPr>
        <w:jc w:val="center"/>
        <w:rPr>
          <w:rFonts w:ascii="Constantia" w:hAnsi="Constantia"/>
          <w:b/>
          <w:bCs/>
          <w:sz w:val="24"/>
          <w:szCs w:val="24"/>
        </w:rPr>
      </w:pPr>
    </w:p>
    <w:p w:rsidR="00195533" w:rsidRPr="003F79B6" w:rsidRDefault="00195533" w:rsidP="00195533">
      <w:pPr>
        <w:jc w:val="center"/>
        <w:rPr>
          <w:rFonts w:ascii="Constantia" w:hAnsi="Constantia"/>
          <w:b/>
          <w:bCs/>
          <w:sz w:val="24"/>
          <w:szCs w:val="24"/>
          <w:u w:val="single"/>
        </w:rPr>
      </w:pPr>
      <w:r w:rsidRPr="003F79B6">
        <w:rPr>
          <w:rFonts w:ascii="Constantia" w:hAnsi="Constantia"/>
          <w:b/>
          <w:bCs/>
          <w:sz w:val="24"/>
          <w:szCs w:val="24"/>
          <w:u w:val="single"/>
        </w:rPr>
        <w:t>Hon. Lady Justice Monica K. Mugenyi</w:t>
      </w:r>
    </w:p>
    <w:p w:rsidR="00195533" w:rsidRPr="005B5B0F" w:rsidRDefault="00195533" w:rsidP="00195533">
      <w:pPr>
        <w:jc w:val="center"/>
        <w:rPr>
          <w:rFonts w:ascii="Constantia" w:hAnsi="Constantia"/>
          <w:b/>
          <w:sz w:val="24"/>
          <w:szCs w:val="24"/>
          <w:u w:val="single"/>
        </w:rPr>
      </w:pPr>
      <w:r w:rsidRPr="005B5B0F">
        <w:rPr>
          <w:rFonts w:ascii="Constantia" w:hAnsi="Constantia"/>
          <w:b/>
          <w:sz w:val="24"/>
          <w:szCs w:val="24"/>
          <w:u w:val="single"/>
        </w:rPr>
        <w:t>J</w:t>
      </w:r>
      <w:r w:rsidR="00627883">
        <w:rPr>
          <w:rFonts w:ascii="Constantia" w:hAnsi="Constantia"/>
          <w:b/>
          <w:sz w:val="24"/>
          <w:szCs w:val="24"/>
          <w:u w:val="single"/>
        </w:rPr>
        <w:t>udgment</w:t>
      </w:r>
      <w:r w:rsidRPr="005B5B0F">
        <w:rPr>
          <w:rFonts w:ascii="Constantia" w:hAnsi="Constantia"/>
          <w:b/>
          <w:sz w:val="24"/>
          <w:szCs w:val="24"/>
          <w:u w:val="single"/>
        </w:rPr>
        <w:t xml:space="preserve"> </w:t>
      </w:r>
    </w:p>
    <w:p w:rsidR="005500FD" w:rsidRDefault="00195533" w:rsidP="00195533">
      <w:pPr>
        <w:pStyle w:val="ListParagraph"/>
        <w:ind w:left="0"/>
        <w:jc w:val="both"/>
        <w:rPr>
          <w:rFonts w:ascii="Constantia" w:hAnsi="Constantia"/>
          <w:sz w:val="24"/>
          <w:szCs w:val="24"/>
        </w:rPr>
      </w:pPr>
      <w:r w:rsidRPr="005B5B0F">
        <w:rPr>
          <w:rFonts w:ascii="Constantia" w:hAnsi="Constantia"/>
          <w:sz w:val="24"/>
          <w:szCs w:val="24"/>
        </w:rPr>
        <w:t>The plaintiff</w:t>
      </w:r>
      <w:r w:rsidR="00456C2C">
        <w:rPr>
          <w:rFonts w:ascii="Constantia" w:hAnsi="Constantia"/>
          <w:sz w:val="24"/>
          <w:szCs w:val="24"/>
        </w:rPr>
        <w:t>s</w:t>
      </w:r>
      <w:r w:rsidR="00FB38ED">
        <w:rPr>
          <w:rFonts w:ascii="Constantia" w:hAnsi="Constantia"/>
          <w:sz w:val="24"/>
          <w:szCs w:val="24"/>
        </w:rPr>
        <w:t xml:space="preserve">, </w:t>
      </w:r>
      <w:r w:rsidR="00E04146">
        <w:rPr>
          <w:rFonts w:ascii="Constantia" w:hAnsi="Constantia"/>
          <w:sz w:val="24"/>
          <w:szCs w:val="24"/>
        </w:rPr>
        <w:t xml:space="preserve">descendants of a one Yonasani Were, claim to </w:t>
      </w:r>
      <w:r w:rsidR="00FB38ED">
        <w:rPr>
          <w:rFonts w:ascii="Constantia" w:hAnsi="Constantia"/>
          <w:sz w:val="24"/>
          <w:szCs w:val="24"/>
        </w:rPr>
        <w:t xml:space="preserve">be the rightful owners of </w:t>
      </w:r>
      <w:r w:rsidR="00E04146">
        <w:rPr>
          <w:rFonts w:ascii="Constantia" w:hAnsi="Constantia"/>
          <w:sz w:val="24"/>
          <w:szCs w:val="24"/>
        </w:rPr>
        <w:t>26 acres of land described as Kyadondo Block 236 plots 28 and 33 that the said Mr. Were allegedly purchased from a one Kezironi Kasenya</w:t>
      </w:r>
      <w:r w:rsidR="00FB38ED">
        <w:rPr>
          <w:rFonts w:ascii="Constantia" w:hAnsi="Constantia"/>
          <w:sz w:val="24"/>
          <w:szCs w:val="24"/>
        </w:rPr>
        <w:t>.  It is the plaintiffs</w:t>
      </w:r>
      <w:r w:rsidR="00042B8F">
        <w:rPr>
          <w:rFonts w:ascii="Constantia" w:hAnsi="Constantia"/>
          <w:sz w:val="24"/>
          <w:szCs w:val="24"/>
        </w:rPr>
        <w:t>’</w:t>
      </w:r>
      <w:r w:rsidR="00FB38ED">
        <w:rPr>
          <w:rFonts w:ascii="Constantia" w:hAnsi="Constantia"/>
          <w:sz w:val="24"/>
          <w:szCs w:val="24"/>
        </w:rPr>
        <w:t xml:space="preserve"> contention that Yonasani Were paid the purchase price for the said land on various dates between 1947</w:t>
      </w:r>
      <w:r w:rsidR="00E04146">
        <w:rPr>
          <w:rFonts w:ascii="Constantia" w:hAnsi="Constantia"/>
          <w:sz w:val="24"/>
          <w:szCs w:val="24"/>
        </w:rPr>
        <w:t xml:space="preserve"> </w:t>
      </w:r>
      <w:r w:rsidR="00FB38ED">
        <w:rPr>
          <w:rFonts w:ascii="Constantia" w:hAnsi="Constantia"/>
          <w:sz w:val="24"/>
          <w:szCs w:val="24"/>
        </w:rPr>
        <w:t>and</w:t>
      </w:r>
      <w:r w:rsidR="00E04146">
        <w:rPr>
          <w:rFonts w:ascii="Constantia" w:hAnsi="Constantia"/>
          <w:sz w:val="24"/>
          <w:szCs w:val="24"/>
        </w:rPr>
        <w:t xml:space="preserve"> 9</w:t>
      </w:r>
      <w:r w:rsidR="00E04146" w:rsidRPr="00E04146">
        <w:rPr>
          <w:rFonts w:ascii="Constantia" w:hAnsi="Constantia"/>
          <w:sz w:val="24"/>
          <w:szCs w:val="24"/>
          <w:vertAlign w:val="superscript"/>
        </w:rPr>
        <w:t>th</w:t>
      </w:r>
      <w:r w:rsidR="00E04146">
        <w:rPr>
          <w:rFonts w:ascii="Constantia" w:hAnsi="Constantia"/>
          <w:sz w:val="24"/>
          <w:szCs w:val="24"/>
        </w:rPr>
        <w:t xml:space="preserve"> September 1951.  The </w:t>
      </w:r>
      <w:r w:rsidR="00E80D37">
        <w:rPr>
          <w:rFonts w:ascii="Constantia" w:hAnsi="Constantia"/>
          <w:sz w:val="24"/>
          <w:szCs w:val="24"/>
        </w:rPr>
        <w:t xml:space="preserve">first, second and third </w:t>
      </w:r>
      <w:r w:rsidR="00E04146">
        <w:rPr>
          <w:rFonts w:ascii="Constantia" w:hAnsi="Constantia"/>
          <w:sz w:val="24"/>
          <w:szCs w:val="24"/>
        </w:rPr>
        <w:t>defendants, on the other hand, are descendants of Kezironi Kasenya</w:t>
      </w:r>
      <w:r w:rsidR="00042B8F">
        <w:rPr>
          <w:rFonts w:ascii="Constantia" w:hAnsi="Constantia"/>
          <w:sz w:val="24"/>
          <w:szCs w:val="24"/>
        </w:rPr>
        <w:t>, the alleged vendor,</w:t>
      </w:r>
      <w:r w:rsidR="00E04146">
        <w:rPr>
          <w:rFonts w:ascii="Constantia" w:hAnsi="Constantia"/>
          <w:sz w:val="24"/>
          <w:szCs w:val="24"/>
        </w:rPr>
        <w:t xml:space="preserve"> and contend that Mr. Were </w:t>
      </w:r>
      <w:r w:rsidR="00FB38ED">
        <w:rPr>
          <w:rFonts w:ascii="Constantia" w:hAnsi="Constantia"/>
          <w:sz w:val="24"/>
          <w:szCs w:val="24"/>
        </w:rPr>
        <w:t>did effect part payment for the land described above but did not complete payment therefore</w:t>
      </w:r>
      <w:r w:rsidR="00042B8F">
        <w:rPr>
          <w:rFonts w:ascii="Constantia" w:hAnsi="Constantia"/>
          <w:sz w:val="24"/>
          <w:szCs w:val="24"/>
        </w:rPr>
        <w:t xml:space="preserve"> whereupon he transferred 2</w:t>
      </w:r>
      <w:r w:rsidR="00F6528E">
        <w:rPr>
          <w:rFonts w:ascii="Constantia" w:hAnsi="Constantia"/>
          <w:sz w:val="24"/>
          <w:szCs w:val="24"/>
        </w:rPr>
        <w:t>0</w:t>
      </w:r>
      <w:r w:rsidR="00042B8F">
        <w:rPr>
          <w:rFonts w:ascii="Constantia" w:hAnsi="Constantia"/>
          <w:sz w:val="24"/>
          <w:szCs w:val="24"/>
        </w:rPr>
        <w:t xml:space="preserve"> acres of the land back to Mr. Kasenya.  </w:t>
      </w:r>
      <w:r w:rsidR="00FB38ED">
        <w:rPr>
          <w:rFonts w:ascii="Constantia" w:hAnsi="Constantia"/>
          <w:sz w:val="24"/>
          <w:szCs w:val="24"/>
        </w:rPr>
        <w:t xml:space="preserve">Following Yonasani Were’s demise in 1961, clan heads purported </w:t>
      </w:r>
      <w:r w:rsidR="00E04146">
        <w:rPr>
          <w:rFonts w:ascii="Constantia" w:hAnsi="Constantia"/>
          <w:sz w:val="24"/>
          <w:szCs w:val="24"/>
        </w:rPr>
        <w:t xml:space="preserve">to </w:t>
      </w:r>
      <w:r w:rsidR="00FB38ED">
        <w:rPr>
          <w:rFonts w:ascii="Constantia" w:hAnsi="Constantia"/>
          <w:sz w:val="24"/>
          <w:szCs w:val="24"/>
        </w:rPr>
        <w:t xml:space="preserve">distribute plots 28 and 33 amongst the deceased’s children including the third plaintiff, and the first and second plaintiffs’ father </w:t>
      </w:r>
      <w:r w:rsidR="00FB38ED">
        <w:rPr>
          <w:rFonts w:ascii="Constantia" w:hAnsi="Constantia"/>
          <w:sz w:val="24"/>
          <w:szCs w:val="24"/>
        </w:rPr>
        <w:lastRenderedPageBreak/>
        <w:t xml:space="preserve">and father-in-law respectively.  </w:t>
      </w:r>
      <w:r w:rsidR="00042B8F">
        <w:rPr>
          <w:rFonts w:ascii="Constantia" w:hAnsi="Constantia"/>
          <w:sz w:val="24"/>
          <w:szCs w:val="24"/>
        </w:rPr>
        <w:t xml:space="preserve">The said distribution was subsequently confirmed by the Administrator General.  However, </w:t>
      </w:r>
      <w:r w:rsidR="00E723CB">
        <w:rPr>
          <w:rFonts w:ascii="Constantia" w:hAnsi="Constantia"/>
          <w:sz w:val="24"/>
          <w:szCs w:val="24"/>
        </w:rPr>
        <w:t xml:space="preserve">in 2005 </w:t>
      </w:r>
      <w:r w:rsidR="00042B8F">
        <w:rPr>
          <w:rFonts w:ascii="Constantia" w:hAnsi="Constantia"/>
          <w:sz w:val="24"/>
          <w:szCs w:val="24"/>
        </w:rPr>
        <w:t xml:space="preserve">when the first plaintiff sought to secure titles for the respective pieces of land apportioned to the deceased’s beneficiaries, he discovered </w:t>
      </w:r>
      <w:r w:rsidR="00E045F6">
        <w:rPr>
          <w:rFonts w:ascii="Constantia" w:hAnsi="Constantia"/>
          <w:sz w:val="24"/>
          <w:szCs w:val="24"/>
        </w:rPr>
        <w:t xml:space="preserve">that </w:t>
      </w:r>
      <w:r w:rsidR="00E37EBD">
        <w:rPr>
          <w:rFonts w:ascii="Constantia" w:hAnsi="Constantia"/>
          <w:sz w:val="24"/>
          <w:szCs w:val="24"/>
        </w:rPr>
        <w:t xml:space="preserve">the first, second, third and fourth defendants held a title to Kyadondo Block 236 </w:t>
      </w:r>
      <w:r w:rsidR="00E045F6">
        <w:rPr>
          <w:rFonts w:ascii="Constantia" w:hAnsi="Constantia"/>
          <w:sz w:val="24"/>
          <w:szCs w:val="24"/>
        </w:rPr>
        <w:t xml:space="preserve">plot </w:t>
      </w:r>
      <w:r w:rsidR="00E37EBD">
        <w:rPr>
          <w:rFonts w:ascii="Constantia" w:hAnsi="Constantia"/>
          <w:sz w:val="24"/>
          <w:szCs w:val="24"/>
        </w:rPr>
        <w:t xml:space="preserve">63 that entailed land included in plot 28.  </w:t>
      </w:r>
      <w:r w:rsidR="00E37EBD" w:rsidRPr="00E37EBD">
        <w:rPr>
          <w:rFonts w:ascii="Constantia" w:hAnsi="Constantia"/>
          <w:sz w:val="24"/>
          <w:szCs w:val="24"/>
        </w:rPr>
        <w:t xml:space="preserve">It was contended by the plaintiffs that plot </w:t>
      </w:r>
      <w:r w:rsidR="00E045F6" w:rsidRPr="00E37EBD">
        <w:rPr>
          <w:rFonts w:ascii="Constantia" w:hAnsi="Constantia"/>
          <w:sz w:val="24"/>
          <w:szCs w:val="24"/>
        </w:rPr>
        <w:t>2407 had been curved out of plot 28 and was later converted into plot 63 registered in the names of the first, second, third and fourth defendants.</w:t>
      </w:r>
      <w:r w:rsidR="00042B8F">
        <w:rPr>
          <w:rFonts w:ascii="Constantia" w:hAnsi="Constantia"/>
          <w:sz w:val="24"/>
          <w:szCs w:val="24"/>
        </w:rPr>
        <w:t xml:space="preserve">  </w:t>
      </w:r>
      <w:r w:rsidR="001F6F3B">
        <w:rPr>
          <w:rFonts w:ascii="Constantia" w:hAnsi="Constantia"/>
          <w:sz w:val="24"/>
          <w:szCs w:val="24"/>
        </w:rPr>
        <w:t>Plot 28 was subsequently cancelled on 18</w:t>
      </w:r>
      <w:r w:rsidR="001F6F3B" w:rsidRPr="001F6F3B">
        <w:rPr>
          <w:rFonts w:ascii="Constantia" w:hAnsi="Constantia"/>
          <w:sz w:val="24"/>
          <w:szCs w:val="24"/>
          <w:vertAlign w:val="superscript"/>
        </w:rPr>
        <w:t>th</w:t>
      </w:r>
      <w:r w:rsidR="001F6F3B">
        <w:rPr>
          <w:rFonts w:ascii="Constantia" w:hAnsi="Constantia"/>
          <w:sz w:val="24"/>
          <w:szCs w:val="24"/>
        </w:rPr>
        <w:t xml:space="preserve"> July 2007 vide instrument No. KLA 345512.  </w:t>
      </w:r>
      <w:r w:rsidR="00E37EBD">
        <w:rPr>
          <w:rFonts w:ascii="Constantia" w:hAnsi="Constantia"/>
          <w:sz w:val="24"/>
          <w:szCs w:val="24"/>
        </w:rPr>
        <w:t>The plaintiffs</w:t>
      </w:r>
      <w:r w:rsidR="005500FD">
        <w:rPr>
          <w:rFonts w:ascii="Constantia" w:hAnsi="Constantia"/>
          <w:sz w:val="24"/>
          <w:szCs w:val="24"/>
        </w:rPr>
        <w:t xml:space="preserve"> thereupon instituted the present proceedings alleging fraud in the </w:t>
      </w:r>
      <w:r w:rsidR="00E045F6">
        <w:rPr>
          <w:rFonts w:ascii="Constantia" w:hAnsi="Constantia"/>
          <w:sz w:val="24"/>
          <w:szCs w:val="24"/>
        </w:rPr>
        <w:t>cancellation</w:t>
      </w:r>
      <w:r w:rsidR="005500FD">
        <w:rPr>
          <w:rFonts w:ascii="Constantia" w:hAnsi="Constantia"/>
          <w:sz w:val="24"/>
          <w:szCs w:val="24"/>
        </w:rPr>
        <w:t xml:space="preserve"> of plot 28 and in the registration of plot 63 that was demarcated therefrom in the names of the </w:t>
      </w:r>
      <w:r w:rsidR="00E045F6">
        <w:rPr>
          <w:rFonts w:ascii="Constantia" w:hAnsi="Constantia"/>
          <w:sz w:val="24"/>
          <w:szCs w:val="24"/>
        </w:rPr>
        <w:t xml:space="preserve">afore-cited </w:t>
      </w:r>
      <w:r w:rsidR="005500FD">
        <w:rPr>
          <w:rFonts w:ascii="Constantia" w:hAnsi="Constantia"/>
          <w:sz w:val="24"/>
          <w:szCs w:val="24"/>
        </w:rPr>
        <w:t xml:space="preserve">defendants.  </w:t>
      </w:r>
      <w:r w:rsidR="00042B8F">
        <w:rPr>
          <w:rFonts w:ascii="Constantia" w:hAnsi="Constantia"/>
          <w:sz w:val="24"/>
          <w:szCs w:val="24"/>
        </w:rPr>
        <w:t xml:space="preserve">The </w:t>
      </w:r>
      <w:r w:rsidR="00E045F6">
        <w:rPr>
          <w:rFonts w:ascii="Constantia" w:hAnsi="Constantia"/>
          <w:sz w:val="24"/>
          <w:szCs w:val="24"/>
        </w:rPr>
        <w:t xml:space="preserve">first, second and third </w:t>
      </w:r>
      <w:r w:rsidR="00042B8F">
        <w:rPr>
          <w:rFonts w:ascii="Constantia" w:hAnsi="Constantia"/>
          <w:sz w:val="24"/>
          <w:szCs w:val="24"/>
        </w:rPr>
        <w:t xml:space="preserve">defendants, </w:t>
      </w:r>
      <w:r w:rsidR="005500FD">
        <w:rPr>
          <w:rFonts w:ascii="Constantia" w:hAnsi="Constantia"/>
          <w:sz w:val="24"/>
          <w:szCs w:val="24"/>
        </w:rPr>
        <w:t xml:space="preserve">on the other hand, contend that </w:t>
      </w:r>
      <w:r w:rsidR="00042B8F">
        <w:rPr>
          <w:rFonts w:ascii="Constantia" w:hAnsi="Constantia"/>
          <w:sz w:val="24"/>
          <w:szCs w:val="24"/>
        </w:rPr>
        <w:t>the</w:t>
      </w:r>
      <w:r w:rsidR="005500FD">
        <w:rPr>
          <w:rFonts w:ascii="Constantia" w:hAnsi="Constantia"/>
          <w:sz w:val="24"/>
          <w:szCs w:val="24"/>
        </w:rPr>
        <w:t>y were</w:t>
      </w:r>
      <w:r w:rsidR="00042B8F">
        <w:rPr>
          <w:rFonts w:ascii="Constantia" w:hAnsi="Constantia"/>
          <w:sz w:val="24"/>
          <w:szCs w:val="24"/>
        </w:rPr>
        <w:t xml:space="preserve"> duly registered proprietors of Kyadondo Block 236 plot 63</w:t>
      </w:r>
      <w:r w:rsidR="006B5A7F">
        <w:rPr>
          <w:rFonts w:ascii="Constantia" w:hAnsi="Constantia"/>
          <w:sz w:val="24"/>
          <w:szCs w:val="24"/>
        </w:rPr>
        <w:t xml:space="preserve">.  It was their contention that plot 28 had been sub-divided into plots 62 and 63 in February 1955, </w:t>
      </w:r>
      <w:r w:rsidR="006B5A7F" w:rsidRPr="0093782F">
        <w:rPr>
          <w:rFonts w:ascii="Constantia" w:hAnsi="Constantia"/>
          <w:sz w:val="24"/>
          <w:szCs w:val="24"/>
        </w:rPr>
        <w:t>with plot 63 measuring 20 acres registered in the names of Kezironi Kasenya</w:t>
      </w:r>
      <w:r w:rsidR="006B5A7F">
        <w:rPr>
          <w:rFonts w:ascii="Constantia" w:hAnsi="Constantia"/>
          <w:sz w:val="24"/>
          <w:szCs w:val="24"/>
        </w:rPr>
        <w:t>; and, therefore, the fifth defendant was right to cancel plot 28</w:t>
      </w:r>
      <w:r w:rsidR="006B5A7F" w:rsidRPr="0093782F">
        <w:rPr>
          <w:rFonts w:ascii="Constantia" w:hAnsi="Constantia"/>
          <w:sz w:val="24"/>
          <w:szCs w:val="24"/>
        </w:rPr>
        <w:t>.</w:t>
      </w:r>
      <w:r w:rsidR="006B5A7F">
        <w:rPr>
          <w:rFonts w:ascii="Constantia" w:hAnsi="Constantia"/>
          <w:sz w:val="24"/>
          <w:szCs w:val="24"/>
        </w:rPr>
        <w:t xml:space="preserve">   </w:t>
      </w:r>
      <w:r w:rsidR="00042B8F">
        <w:rPr>
          <w:rFonts w:ascii="Constantia" w:hAnsi="Constantia"/>
          <w:sz w:val="24"/>
          <w:szCs w:val="24"/>
        </w:rPr>
        <w:t xml:space="preserve"> </w:t>
      </w:r>
      <w:r w:rsidR="00042B8F" w:rsidRPr="005B5B0F">
        <w:rPr>
          <w:rFonts w:ascii="Constantia" w:hAnsi="Constantia"/>
          <w:sz w:val="24"/>
          <w:szCs w:val="24"/>
        </w:rPr>
        <w:t xml:space="preserve"> </w:t>
      </w:r>
    </w:p>
    <w:p w:rsidR="005500FD" w:rsidRDefault="005500FD" w:rsidP="00195533">
      <w:pPr>
        <w:pStyle w:val="ListParagraph"/>
        <w:ind w:left="0"/>
        <w:jc w:val="both"/>
        <w:rPr>
          <w:rFonts w:ascii="Constantia" w:hAnsi="Constantia"/>
          <w:sz w:val="24"/>
          <w:szCs w:val="24"/>
        </w:rPr>
      </w:pPr>
    </w:p>
    <w:p w:rsidR="00195533" w:rsidRDefault="00E80D37" w:rsidP="00195533">
      <w:pPr>
        <w:pStyle w:val="ListParagraph"/>
        <w:ind w:left="0"/>
        <w:jc w:val="both"/>
        <w:rPr>
          <w:rFonts w:ascii="Constantia" w:hAnsi="Constantia"/>
          <w:sz w:val="24"/>
          <w:szCs w:val="24"/>
        </w:rPr>
      </w:pPr>
      <w:r>
        <w:rPr>
          <w:rFonts w:ascii="Constantia" w:hAnsi="Constantia"/>
          <w:sz w:val="24"/>
          <w:szCs w:val="24"/>
        </w:rPr>
        <w:t>No written statements of defence were filed by the fourth and fifth defendants, the former being deceased.</w:t>
      </w:r>
      <w:r w:rsidR="005500FD">
        <w:rPr>
          <w:rFonts w:ascii="Constantia" w:hAnsi="Constantia"/>
          <w:sz w:val="24"/>
          <w:szCs w:val="24"/>
        </w:rPr>
        <w:t xml:space="preserve">  </w:t>
      </w:r>
      <w:r w:rsidR="00195533" w:rsidRPr="005B5B0F">
        <w:rPr>
          <w:rFonts w:ascii="Constantia" w:hAnsi="Constantia"/>
          <w:sz w:val="24"/>
          <w:szCs w:val="24"/>
        </w:rPr>
        <w:t xml:space="preserve">Pursuant to a scheduling conference </w:t>
      </w:r>
      <w:r w:rsidR="00F66279">
        <w:rPr>
          <w:rFonts w:ascii="Constantia" w:hAnsi="Constantia"/>
          <w:sz w:val="24"/>
          <w:szCs w:val="24"/>
        </w:rPr>
        <w:t xml:space="preserve">conducted </w:t>
      </w:r>
      <w:r w:rsidR="00195533" w:rsidRPr="005B5B0F">
        <w:rPr>
          <w:rFonts w:ascii="Constantia" w:hAnsi="Constantia"/>
          <w:sz w:val="24"/>
          <w:szCs w:val="24"/>
        </w:rPr>
        <w:t xml:space="preserve">on </w:t>
      </w:r>
      <w:r w:rsidR="00F66279">
        <w:rPr>
          <w:rFonts w:ascii="Constantia" w:hAnsi="Constantia"/>
          <w:sz w:val="24"/>
          <w:szCs w:val="24"/>
        </w:rPr>
        <w:t>23</w:t>
      </w:r>
      <w:r w:rsidR="00F66279" w:rsidRPr="00F66279">
        <w:rPr>
          <w:rFonts w:ascii="Constantia" w:hAnsi="Constantia"/>
          <w:sz w:val="24"/>
          <w:szCs w:val="24"/>
          <w:vertAlign w:val="superscript"/>
        </w:rPr>
        <w:t>rd</w:t>
      </w:r>
      <w:r w:rsidR="00F66279">
        <w:rPr>
          <w:rFonts w:ascii="Constantia" w:hAnsi="Constantia"/>
          <w:sz w:val="24"/>
          <w:szCs w:val="24"/>
        </w:rPr>
        <w:t xml:space="preserve"> September 2009</w:t>
      </w:r>
      <w:r w:rsidR="00F81C6F">
        <w:rPr>
          <w:rFonts w:ascii="Constantia" w:hAnsi="Constantia"/>
          <w:sz w:val="24"/>
          <w:szCs w:val="24"/>
        </w:rPr>
        <w:t xml:space="preserve"> </w:t>
      </w:r>
      <w:r w:rsidR="00195533" w:rsidRPr="005B5B0F">
        <w:rPr>
          <w:rFonts w:ascii="Constantia" w:hAnsi="Constantia"/>
          <w:sz w:val="24"/>
          <w:szCs w:val="24"/>
        </w:rPr>
        <w:t>the following issues</w:t>
      </w:r>
      <w:r w:rsidR="00F81C6F">
        <w:rPr>
          <w:rFonts w:ascii="Constantia" w:hAnsi="Constantia"/>
          <w:sz w:val="24"/>
          <w:szCs w:val="24"/>
        </w:rPr>
        <w:t xml:space="preserve"> were framed</w:t>
      </w:r>
      <w:r w:rsidR="00195533">
        <w:rPr>
          <w:rFonts w:ascii="Constantia" w:hAnsi="Constantia"/>
          <w:sz w:val="24"/>
          <w:szCs w:val="24"/>
        </w:rPr>
        <w:t>:</w:t>
      </w:r>
    </w:p>
    <w:p w:rsidR="00F81C6F" w:rsidRDefault="00F66279" w:rsidP="00195533">
      <w:pPr>
        <w:pStyle w:val="ListParagraph"/>
        <w:numPr>
          <w:ilvl w:val="0"/>
          <w:numId w:val="1"/>
        </w:numPr>
        <w:jc w:val="both"/>
        <w:rPr>
          <w:rFonts w:ascii="Constantia" w:hAnsi="Constantia"/>
          <w:sz w:val="24"/>
          <w:szCs w:val="24"/>
        </w:rPr>
      </w:pPr>
      <w:r w:rsidRPr="005B5B0F">
        <w:rPr>
          <w:rFonts w:ascii="Constantia" w:hAnsi="Constantia"/>
          <w:sz w:val="24"/>
          <w:szCs w:val="24"/>
        </w:rPr>
        <w:t>Wh</w:t>
      </w:r>
      <w:r>
        <w:rPr>
          <w:rFonts w:ascii="Constantia" w:hAnsi="Constantia"/>
          <w:sz w:val="24"/>
          <w:szCs w:val="24"/>
        </w:rPr>
        <w:t>ich of the certificates of title is valid?</w:t>
      </w:r>
    </w:p>
    <w:p w:rsidR="00195533" w:rsidRPr="005B5B0F" w:rsidRDefault="00195533" w:rsidP="00F81C6F">
      <w:pPr>
        <w:pStyle w:val="ListParagraph"/>
        <w:numPr>
          <w:ilvl w:val="0"/>
          <w:numId w:val="1"/>
        </w:numPr>
        <w:jc w:val="both"/>
        <w:rPr>
          <w:rFonts w:ascii="Constantia" w:hAnsi="Constantia"/>
          <w:sz w:val="24"/>
          <w:szCs w:val="24"/>
        </w:rPr>
      </w:pPr>
      <w:r>
        <w:rPr>
          <w:rFonts w:ascii="Constantia" w:hAnsi="Constantia"/>
          <w:sz w:val="24"/>
          <w:szCs w:val="24"/>
        </w:rPr>
        <w:t>Wh</w:t>
      </w:r>
      <w:r w:rsidR="00F81C6F">
        <w:rPr>
          <w:rFonts w:ascii="Constantia" w:hAnsi="Constantia"/>
          <w:sz w:val="24"/>
          <w:szCs w:val="24"/>
        </w:rPr>
        <w:t xml:space="preserve">o is the rightful owner of the land in </w:t>
      </w:r>
      <w:r w:rsidR="00F66279">
        <w:rPr>
          <w:rFonts w:ascii="Constantia" w:hAnsi="Constantia"/>
          <w:sz w:val="24"/>
          <w:szCs w:val="24"/>
        </w:rPr>
        <w:t>dispute?</w:t>
      </w:r>
      <w:r w:rsidR="00F81C6F">
        <w:rPr>
          <w:rFonts w:ascii="Constantia" w:hAnsi="Constantia"/>
          <w:sz w:val="24"/>
          <w:szCs w:val="24"/>
        </w:rPr>
        <w:t xml:space="preserve">  </w:t>
      </w:r>
    </w:p>
    <w:p w:rsidR="00195533" w:rsidRPr="005B5B0F" w:rsidRDefault="00F81C6F" w:rsidP="00195533">
      <w:pPr>
        <w:pStyle w:val="ListParagraph"/>
        <w:numPr>
          <w:ilvl w:val="0"/>
          <w:numId w:val="1"/>
        </w:numPr>
        <w:jc w:val="both"/>
        <w:rPr>
          <w:rFonts w:ascii="Constantia" w:hAnsi="Constantia"/>
          <w:sz w:val="24"/>
          <w:szCs w:val="24"/>
        </w:rPr>
      </w:pPr>
      <w:r>
        <w:rPr>
          <w:rFonts w:ascii="Constantia" w:hAnsi="Constantia"/>
          <w:sz w:val="24"/>
          <w:szCs w:val="24"/>
        </w:rPr>
        <w:t>Remedies a</w:t>
      </w:r>
      <w:r w:rsidR="00195533" w:rsidRPr="005B5B0F">
        <w:rPr>
          <w:rFonts w:ascii="Constantia" w:hAnsi="Constantia"/>
          <w:sz w:val="24"/>
          <w:szCs w:val="24"/>
        </w:rPr>
        <w:t>vailable.</w:t>
      </w:r>
    </w:p>
    <w:p w:rsidR="00F6528E" w:rsidRDefault="00EC04EA" w:rsidP="008F48EE">
      <w:pPr>
        <w:jc w:val="both"/>
        <w:rPr>
          <w:rFonts w:ascii="Constantia" w:hAnsi="Constantia"/>
          <w:sz w:val="24"/>
          <w:szCs w:val="24"/>
        </w:rPr>
      </w:pPr>
      <w:r>
        <w:rPr>
          <w:rFonts w:ascii="Constantia" w:hAnsi="Constantia"/>
          <w:sz w:val="24"/>
          <w:szCs w:val="24"/>
        </w:rPr>
        <w:t xml:space="preserve">At the hearing of this case the plaintiffs were represented by Mr. Noah Sekabojja, while Mr. Brian Othieno represented the defendants.  In </w:t>
      </w:r>
      <w:r w:rsidR="00F6528E">
        <w:rPr>
          <w:rFonts w:ascii="Constantia" w:hAnsi="Constantia"/>
          <w:sz w:val="24"/>
          <w:szCs w:val="24"/>
        </w:rPr>
        <w:t xml:space="preserve">final </w:t>
      </w:r>
      <w:r>
        <w:rPr>
          <w:rFonts w:ascii="Constantia" w:hAnsi="Constantia"/>
          <w:sz w:val="24"/>
          <w:szCs w:val="24"/>
        </w:rPr>
        <w:t xml:space="preserve">written submissions, learned counsel for the defence raised </w:t>
      </w:r>
      <w:r w:rsidR="006F08D1">
        <w:rPr>
          <w:rFonts w:ascii="Constantia" w:hAnsi="Constantia"/>
          <w:sz w:val="24"/>
          <w:szCs w:val="24"/>
        </w:rPr>
        <w:t>3</w:t>
      </w:r>
      <w:r>
        <w:rPr>
          <w:rFonts w:ascii="Constantia" w:hAnsi="Constantia"/>
          <w:sz w:val="24"/>
          <w:szCs w:val="24"/>
        </w:rPr>
        <w:t xml:space="preserve"> preliminary points of law; </w:t>
      </w:r>
      <w:r w:rsidR="006F08D1">
        <w:rPr>
          <w:rFonts w:ascii="Constantia" w:hAnsi="Constantia"/>
          <w:sz w:val="24"/>
          <w:szCs w:val="24"/>
        </w:rPr>
        <w:t xml:space="preserve">the first and third points of law gravitate around the </w:t>
      </w:r>
      <w:r>
        <w:rPr>
          <w:rFonts w:ascii="Constantia" w:hAnsi="Constantia"/>
          <w:sz w:val="24"/>
          <w:szCs w:val="24"/>
        </w:rPr>
        <w:t xml:space="preserve">plaintiffs </w:t>
      </w:r>
      <w:r w:rsidR="006F08D1">
        <w:rPr>
          <w:rFonts w:ascii="Constantia" w:hAnsi="Constantia"/>
          <w:sz w:val="24"/>
          <w:szCs w:val="24"/>
        </w:rPr>
        <w:t xml:space="preserve">having </w:t>
      </w:r>
      <w:r>
        <w:rPr>
          <w:rFonts w:ascii="Constantia" w:hAnsi="Constantia"/>
          <w:sz w:val="24"/>
          <w:szCs w:val="24"/>
        </w:rPr>
        <w:t xml:space="preserve">had no </w:t>
      </w:r>
      <w:r w:rsidRPr="00EC04EA">
        <w:rPr>
          <w:rFonts w:ascii="Constantia" w:hAnsi="Constantia"/>
          <w:i/>
          <w:sz w:val="24"/>
          <w:szCs w:val="24"/>
        </w:rPr>
        <w:t>locus standi</w:t>
      </w:r>
      <w:r>
        <w:rPr>
          <w:rFonts w:ascii="Constantia" w:hAnsi="Constantia"/>
          <w:sz w:val="24"/>
          <w:szCs w:val="24"/>
        </w:rPr>
        <w:t xml:space="preserve"> to institute the present proceedings</w:t>
      </w:r>
      <w:r w:rsidR="006F08D1">
        <w:rPr>
          <w:rFonts w:ascii="Constantia" w:hAnsi="Constantia"/>
          <w:sz w:val="24"/>
          <w:szCs w:val="24"/>
        </w:rPr>
        <w:t xml:space="preserve">, while the second point of law raised was </w:t>
      </w:r>
      <w:r>
        <w:rPr>
          <w:rFonts w:ascii="Constantia" w:hAnsi="Constantia"/>
          <w:sz w:val="24"/>
          <w:szCs w:val="24"/>
        </w:rPr>
        <w:t>that the suit was time-barred.  I propose to determine these preliminary points of law prior to a consideration of the merits of the present suit.</w:t>
      </w:r>
      <w:r w:rsidR="00F6528E">
        <w:rPr>
          <w:rFonts w:ascii="Constantia" w:hAnsi="Constantia"/>
          <w:sz w:val="24"/>
          <w:szCs w:val="24"/>
        </w:rPr>
        <w:t xml:space="preserve">  </w:t>
      </w:r>
      <w:r w:rsidR="008F48EE">
        <w:rPr>
          <w:rFonts w:ascii="Constantia" w:hAnsi="Constantia"/>
          <w:sz w:val="24"/>
          <w:szCs w:val="24"/>
        </w:rPr>
        <w:t xml:space="preserve">I shall start with the second preliminary point of law, to wit, that the suit is time barred.  </w:t>
      </w:r>
    </w:p>
    <w:p w:rsidR="008F48EE" w:rsidRDefault="008F48EE" w:rsidP="008F48EE">
      <w:pPr>
        <w:jc w:val="both"/>
        <w:rPr>
          <w:rFonts w:ascii="Constantia" w:hAnsi="Constantia"/>
          <w:sz w:val="24"/>
          <w:szCs w:val="24"/>
        </w:rPr>
      </w:pPr>
      <w:r>
        <w:rPr>
          <w:rFonts w:ascii="Constantia" w:hAnsi="Constantia"/>
          <w:sz w:val="24"/>
          <w:szCs w:val="24"/>
        </w:rPr>
        <w:t>It was learned defence counsel’s submission that the present suit violated section 20 of the Limitation Act in so far as it was filed well beyond the 12 years limitation period prescribed therein.  This court understood learned counsel</w:t>
      </w:r>
      <w:r w:rsidR="00F6528E">
        <w:rPr>
          <w:rFonts w:ascii="Constantia" w:hAnsi="Constantia"/>
          <w:sz w:val="24"/>
          <w:szCs w:val="24"/>
        </w:rPr>
        <w:t>’s</w:t>
      </w:r>
      <w:r>
        <w:rPr>
          <w:rFonts w:ascii="Constantia" w:hAnsi="Constantia"/>
          <w:sz w:val="24"/>
          <w:szCs w:val="24"/>
        </w:rPr>
        <w:t xml:space="preserve"> argument to be that the evidence on record indicated that Yonasani Were’s estate had been distributed by 1973 at the latest therefore any dispute that was premised on a claim to the estate should have been filed by 1985.  For ease of reference the pertinent portion of section 20 is reproduced below:</w:t>
      </w:r>
    </w:p>
    <w:p w:rsidR="008F48EE" w:rsidRDefault="008F48EE" w:rsidP="008F48EE">
      <w:pPr>
        <w:ind w:left="720"/>
        <w:jc w:val="both"/>
        <w:rPr>
          <w:rFonts w:ascii="Constantia" w:hAnsi="Constantia"/>
          <w:sz w:val="24"/>
          <w:szCs w:val="24"/>
        </w:rPr>
      </w:pPr>
      <w:r>
        <w:rPr>
          <w:rFonts w:ascii="Constantia" w:hAnsi="Constantia"/>
          <w:sz w:val="24"/>
          <w:szCs w:val="24"/>
        </w:rPr>
        <w:lastRenderedPageBreak/>
        <w:t>“</w:t>
      </w:r>
      <w:r w:rsidRPr="00CB3573">
        <w:rPr>
          <w:rFonts w:ascii="Constantia" w:hAnsi="Constantia"/>
          <w:b/>
          <w:sz w:val="24"/>
          <w:szCs w:val="24"/>
        </w:rPr>
        <w:t>Subject to section 19(1), no action in respect of any claim to the personal estate of a deceased person or to any share or interest in such estate, whether under a will or on intestacy, shall be brought after the expiration of twelve years from the date when the right to receive the share or interest accrued</w:t>
      </w:r>
      <w:r>
        <w:rPr>
          <w:rFonts w:ascii="Constantia" w:hAnsi="Constantia"/>
          <w:sz w:val="24"/>
          <w:szCs w:val="24"/>
        </w:rPr>
        <w:t>.”</w:t>
      </w:r>
    </w:p>
    <w:p w:rsidR="008F48EE" w:rsidRDefault="008F48EE" w:rsidP="008F48EE">
      <w:pPr>
        <w:jc w:val="both"/>
        <w:rPr>
          <w:rFonts w:ascii="Constantia" w:hAnsi="Constantia"/>
          <w:sz w:val="24"/>
          <w:szCs w:val="24"/>
        </w:rPr>
      </w:pPr>
      <w:r>
        <w:rPr>
          <w:rFonts w:ascii="Constantia" w:hAnsi="Constantia"/>
          <w:sz w:val="24"/>
          <w:szCs w:val="24"/>
        </w:rPr>
        <w:t xml:space="preserve">Conversely, it was </w:t>
      </w:r>
      <w:r w:rsidR="00F6528E">
        <w:rPr>
          <w:rFonts w:ascii="Constantia" w:hAnsi="Constantia"/>
          <w:sz w:val="24"/>
          <w:szCs w:val="24"/>
        </w:rPr>
        <w:t>contended</w:t>
      </w:r>
      <w:r>
        <w:rPr>
          <w:rFonts w:ascii="Constantia" w:hAnsi="Constantia"/>
          <w:sz w:val="24"/>
          <w:szCs w:val="24"/>
        </w:rPr>
        <w:t xml:space="preserve"> for the plaintiffs that the matter in dispute between the parties was the irregular cancellation of the certificate of title in respect of Kyadondo Block 236 plot 28, and not a claim over property in Yonasani Were’s estate as had been advanced by the defence. </w:t>
      </w:r>
    </w:p>
    <w:p w:rsidR="008F48EE" w:rsidRDefault="008F48EE" w:rsidP="008F48EE">
      <w:pPr>
        <w:jc w:val="both"/>
        <w:rPr>
          <w:rFonts w:ascii="Constantia" w:hAnsi="Constantia"/>
          <w:sz w:val="24"/>
          <w:szCs w:val="24"/>
        </w:rPr>
      </w:pPr>
      <w:r>
        <w:rPr>
          <w:rFonts w:ascii="Constantia" w:hAnsi="Constantia"/>
          <w:sz w:val="24"/>
          <w:szCs w:val="24"/>
        </w:rPr>
        <w:t>Section 25</w:t>
      </w:r>
      <w:r w:rsidR="00F6528E">
        <w:rPr>
          <w:rFonts w:ascii="Constantia" w:hAnsi="Constantia"/>
          <w:sz w:val="24"/>
          <w:szCs w:val="24"/>
        </w:rPr>
        <w:t>(a)</w:t>
      </w:r>
      <w:r>
        <w:rPr>
          <w:rFonts w:ascii="Constantia" w:hAnsi="Constantia"/>
          <w:sz w:val="24"/>
          <w:szCs w:val="24"/>
        </w:rPr>
        <w:t xml:space="preserve"> of the Limitation Act postpones the limitation period prescribed in that Act in case of fraud.  </w:t>
      </w:r>
      <w:r w:rsidR="00F6528E">
        <w:rPr>
          <w:rFonts w:ascii="Constantia" w:hAnsi="Constantia"/>
          <w:sz w:val="24"/>
          <w:szCs w:val="24"/>
        </w:rPr>
        <w:t xml:space="preserve">The section </w:t>
      </w:r>
      <w:r>
        <w:rPr>
          <w:rFonts w:ascii="Constantia" w:hAnsi="Constantia"/>
          <w:sz w:val="24"/>
          <w:szCs w:val="24"/>
        </w:rPr>
        <w:t>reads:</w:t>
      </w:r>
    </w:p>
    <w:p w:rsidR="008F48EE" w:rsidRDefault="008F48EE" w:rsidP="008F48EE">
      <w:pPr>
        <w:ind w:left="720"/>
        <w:jc w:val="both"/>
        <w:rPr>
          <w:rFonts w:ascii="Constantia" w:hAnsi="Constantia"/>
          <w:sz w:val="24"/>
          <w:szCs w:val="24"/>
        </w:rPr>
      </w:pPr>
      <w:r>
        <w:rPr>
          <w:rFonts w:ascii="Constantia" w:hAnsi="Constantia"/>
          <w:sz w:val="24"/>
          <w:szCs w:val="24"/>
        </w:rPr>
        <w:t>“</w:t>
      </w:r>
      <w:r w:rsidRPr="00184E5D">
        <w:rPr>
          <w:rFonts w:ascii="Constantia" w:hAnsi="Constantia"/>
          <w:b/>
          <w:sz w:val="24"/>
          <w:szCs w:val="24"/>
        </w:rPr>
        <w:t>Where, in the case of any action for which a period of limitation is prescribed by this Act, … the</w:t>
      </w:r>
      <w:r>
        <w:rPr>
          <w:rFonts w:ascii="Constantia" w:hAnsi="Constantia"/>
          <w:b/>
          <w:sz w:val="24"/>
          <w:szCs w:val="24"/>
        </w:rPr>
        <w:t xml:space="preserve"> </w:t>
      </w:r>
      <w:r w:rsidRPr="00184E5D">
        <w:rPr>
          <w:rFonts w:ascii="Constantia" w:hAnsi="Constantia"/>
          <w:b/>
          <w:sz w:val="24"/>
          <w:szCs w:val="24"/>
        </w:rPr>
        <w:t>action is based upon the fraud of the defendant or his or her agent or of any person through whom he or she claims or his or her agent, the period of limitation shall not begin to run until the plaintiff has discovered the fraud … or could with reasonable diligence have discovered it</w:t>
      </w:r>
      <w:r>
        <w:rPr>
          <w:rFonts w:ascii="Constantia" w:hAnsi="Constantia"/>
          <w:sz w:val="24"/>
          <w:szCs w:val="24"/>
        </w:rPr>
        <w:t xml:space="preserve">.” </w:t>
      </w:r>
    </w:p>
    <w:p w:rsidR="008F48EE" w:rsidRDefault="008F48EE" w:rsidP="008F48EE">
      <w:pPr>
        <w:jc w:val="both"/>
        <w:rPr>
          <w:rFonts w:ascii="Constantia" w:hAnsi="Constantia"/>
          <w:sz w:val="24"/>
          <w:szCs w:val="24"/>
        </w:rPr>
      </w:pPr>
      <w:r>
        <w:rPr>
          <w:rFonts w:ascii="Constantia" w:hAnsi="Constantia"/>
          <w:sz w:val="24"/>
          <w:szCs w:val="24"/>
        </w:rPr>
        <w:t>In the instant case it was the plaintiffs’ case that the first plaintiff discovered the fraud that allegedly underlay the defendants</w:t>
      </w:r>
      <w:r w:rsidR="00CD61DD">
        <w:rPr>
          <w:rFonts w:ascii="Constantia" w:hAnsi="Constantia"/>
          <w:sz w:val="24"/>
          <w:szCs w:val="24"/>
        </w:rPr>
        <w:t>’</w:t>
      </w:r>
      <w:r>
        <w:rPr>
          <w:rFonts w:ascii="Constantia" w:hAnsi="Constantia"/>
          <w:sz w:val="24"/>
          <w:szCs w:val="24"/>
        </w:rPr>
        <w:t xml:space="preserve"> interest in the disputed land </w:t>
      </w:r>
      <w:r w:rsidR="007951BA">
        <w:rPr>
          <w:rFonts w:ascii="Constantia" w:hAnsi="Constantia"/>
          <w:sz w:val="24"/>
          <w:szCs w:val="24"/>
        </w:rPr>
        <w:t>in</w:t>
      </w:r>
      <w:r>
        <w:rPr>
          <w:rFonts w:ascii="Constantia" w:hAnsi="Constantia"/>
          <w:sz w:val="24"/>
          <w:szCs w:val="24"/>
        </w:rPr>
        <w:t xml:space="preserve"> 2005 </w:t>
      </w:r>
      <w:r w:rsidR="00CD61DD">
        <w:rPr>
          <w:rFonts w:ascii="Constantia" w:hAnsi="Constantia"/>
          <w:sz w:val="24"/>
          <w:szCs w:val="24"/>
        </w:rPr>
        <w:t>when the he allegedly sought to secure titles for the respective pieces of land apportioned to the deceased’s beneficiaries</w:t>
      </w:r>
      <w:r>
        <w:rPr>
          <w:rFonts w:ascii="Constantia" w:hAnsi="Constantia"/>
          <w:sz w:val="24"/>
          <w:szCs w:val="24"/>
        </w:rPr>
        <w:t xml:space="preserve">.  Therefore, it would be from that date that the limitation period started to run.  </w:t>
      </w:r>
      <w:r w:rsidR="00CD61DD">
        <w:rPr>
          <w:rFonts w:ascii="Constantia" w:hAnsi="Constantia"/>
          <w:sz w:val="24"/>
          <w:szCs w:val="24"/>
        </w:rPr>
        <w:t xml:space="preserve">The present suit was filed in 2007 well within the prescribed 12 –year limit.  </w:t>
      </w:r>
      <w:r>
        <w:rPr>
          <w:rFonts w:ascii="Constantia" w:hAnsi="Constantia"/>
          <w:sz w:val="24"/>
          <w:szCs w:val="24"/>
        </w:rPr>
        <w:t xml:space="preserve">I </w:t>
      </w:r>
      <w:r w:rsidR="00CD61DD">
        <w:rPr>
          <w:rFonts w:ascii="Constantia" w:hAnsi="Constantia"/>
          <w:sz w:val="24"/>
          <w:szCs w:val="24"/>
        </w:rPr>
        <w:t xml:space="preserve">therefore </w:t>
      </w:r>
      <w:r>
        <w:rPr>
          <w:rFonts w:ascii="Constantia" w:hAnsi="Constantia"/>
          <w:sz w:val="24"/>
          <w:szCs w:val="24"/>
        </w:rPr>
        <w:t>find that the present suit was brought within time.</w:t>
      </w:r>
      <w:r w:rsidR="008A0920">
        <w:rPr>
          <w:rFonts w:ascii="Constantia" w:hAnsi="Constantia"/>
          <w:sz w:val="24"/>
          <w:szCs w:val="24"/>
        </w:rPr>
        <w:t xml:space="preserve">  I so hold.</w:t>
      </w:r>
    </w:p>
    <w:p w:rsidR="004C2C54" w:rsidRDefault="00963F74" w:rsidP="00195533">
      <w:pPr>
        <w:jc w:val="both"/>
        <w:rPr>
          <w:rFonts w:ascii="Constantia" w:hAnsi="Constantia"/>
          <w:sz w:val="24"/>
          <w:szCs w:val="24"/>
        </w:rPr>
      </w:pPr>
      <w:r>
        <w:rPr>
          <w:rFonts w:ascii="Constantia" w:hAnsi="Constantia"/>
          <w:sz w:val="24"/>
          <w:szCs w:val="24"/>
        </w:rPr>
        <w:t xml:space="preserve">On the question of the plaintiffs’ </w:t>
      </w:r>
      <w:r w:rsidRPr="00963F74">
        <w:rPr>
          <w:rFonts w:ascii="Constantia" w:hAnsi="Constantia"/>
          <w:i/>
          <w:sz w:val="24"/>
          <w:szCs w:val="24"/>
        </w:rPr>
        <w:t>locus standi</w:t>
      </w:r>
      <w:r>
        <w:rPr>
          <w:rFonts w:ascii="Constantia" w:hAnsi="Constantia"/>
          <w:sz w:val="24"/>
          <w:szCs w:val="24"/>
        </w:rPr>
        <w:t>, i</w:t>
      </w:r>
      <w:r w:rsidR="005543B1">
        <w:rPr>
          <w:rFonts w:ascii="Constantia" w:hAnsi="Constantia"/>
          <w:sz w:val="24"/>
          <w:szCs w:val="24"/>
        </w:rPr>
        <w:t>t was Mr. Othieno’s contention that</w:t>
      </w:r>
      <w:r>
        <w:rPr>
          <w:rFonts w:ascii="Constantia" w:hAnsi="Constantia"/>
          <w:sz w:val="24"/>
          <w:szCs w:val="24"/>
        </w:rPr>
        <w:t xml:space="preserve"> the first and second plaintiffs were administrators to the </w:t>
      </w:r>
      <w:r w:rsidR="00F917E4">
        <w:rPr>
          <w:rFonts w:ascii="Constantia" w:hAnsi="Constantia"/>
          <w:sz w:val="24"/>
          <w:szCs w:val="24"/>
        </w:rPr>
        <w:t>e</w:t>
      </w:r>
      <w:r>
        <w:rPr>
          <w:rFonts w:ascii="Constantia" w:hAnsi="Constantia"/>
          <w:sz w:val="24"/>
          <w:szCs w:val="24"/>
        </w:rPr>
        <w:t>state of one Portipher Were</w:t>
      </w:r>
      <w:r w:rsidR="00E64179">
        <w:rPr>
          <w:rFonts w:ascii="Constantia" w:hAnsi="Constantia"/>
          <w:sz w:val="24"/>
          <w:szCs w:val="24"/>
        </w:rPr>
        <w:t xml:space="preserve"> while </w:t>
      </w:r>
      <w:r>
        <w:rPr>
          <w:rFonts w:ascii="Constantia" w:hAnsi="Constantia"/>
          <w:sz w:val="24"/>
          <w:szCs w:val="24"/>
        </w:rPr>
        <w:t xml:space="preserve">the third plaintiff was a beneficiary of the same </w:t>
      </w:r>
      <w:r w:rsidR="00F917E4">
        <w:rPr>
          <w:rFonts w:ascii="Constantia" w:hAnsi="Constantia"/>
          <w:sz w:val="24"/>
          <w:szCs w:val="24"/>
        </w:rPr>
        <w:t>e</w:t>
      </w:r>
      <w:r>
        <w:rPr>
          <w:rFonts w:ascii="Constantia" w:hAnsi="Constantia"/>
          <w:sz w:val="24"/>
          <w:szCs w:val="24"/>
        </w:rPr>
        <w:t>state</w:t>
      </w:r>
      <w:r w:rsidR="005F1312">
        <w:rPr>
          <w:rFonts w:ascii="Constantia" w:hAnsi="Constantia"/>
          <w:sz w:val="24"/>
          <w:szCs w:val="24"/>
        </w:rPr>
        <w:t>,</w:t>
      </w:r>
      <w:r w:rsidR="005543B1">
        <w:rPr>
          <w:rFonts w:ascii="Constantia" w:hAnsi="Constantia"/>
          <w:sz w:val="24"/>
          <w:szCs w:val="24"/>
        </w:rPr>
        <w:t xml:space="preserve"> </w:t>
      </w:r>
      <w:r>
        <w:rPr>
          <w:rFonts w:ascii="Constantia" w:hAnsi="Constantia"/>
          <w:sz w:val="24"/>
          <w:szCs w:val="24"/>
        </w:rPr>
        <w:t xml:space="preserve">but there was no nexus between any of them and </w:t>
      </w:r>
      <w:r w:rsidR="005F1312">
        <w:rPr>
          <w:rFonts w:ascii="Constantia" w:hAnsi="Constantia"/>
          <w:sz w:val="24"/>
          <w:szCs w:val="24"/>
        </w:rPr>
        <w:t>the e</w:t>
      </w:r>
      <w:r w:rsidR="00E64179">
        <w:rPr>
          <w:rFonts w:ascii="Constantia" w:hAnsi="Constantia"/>
          <w:sz w:val="24"/>
          <w:szCs w:val="24"/>
        </w:rPr>
        <w:t xml:space="preserve">state of </w:t>
      </w:r>
      <w:r>
        <w:rPr>
          <w:rFonts w:ascii="Constantia" w:hAnsi="Constantia"/>
          <w:sz w:val="24"/>
          <w:szCs w:val="24"/>
        </w:rPr>
        <w:t xml:space="preserve">Yonasani Were </w:t>
      </w:r>
      <w:r w:rsidR="008A0920">
        <w:rPr>
          <w:rFonts w:ascii="Constantia" w:hAnsi="Constantia"/>
          <w:sz w:val="24"/>
          <w:szCs w:val="24"/>
        </w:rPr>
        <w:t>from whom they purport to derive title</w:t>
      </w:r>
      <w:r>
        <w:rPr>
          <w:rFonts w:ascii="Constantia" w:hAnsi="Constantia"/>
          <w:sz w:val="24"/>
          <w:szCs w:val="24"/>
        </w:rPr>
        <w:t>, as required by section 191 of the Succession Act.</w:t>
      </w:r>
      <w:r w:rsidR="00722CDF">
        <w:rPr>
          <w:rFonts w:ascii="Constantia" w:hAnsi="Constantia"/>
          <w:sz w:val="24"/>
          <w:szCs w:val="24"/>
        </w:rPr>
        <w:t xml:space="preserve">  </w:t>
      </w:r>
      <w:r w:rsidR="0043158D">
        <w:rPr>
          <w:rFonts w:ascii="Constantia" w:hAnsi="Constantia"/>
          <w:sz w:val="24"/>
          <w:szCs w:val="24"/>
        </w:rPr>
        <w:t>It was also Counsel’s contention that Yonasani Were</w:t>
      </w:r>
      <w:r w:rsidR="0015751F">
        <w:rPr>
          <w:rFonts w:ascii="Constantia" w:hAnsi="Constantia"/>
          <w:sz w:val="24"/>
          <w:szCs w:val="24"/>
        </w:rPr>
        <w:t>’s estate</w:t>
      </w:r>
      <w:r w:rsidR="0043158D">
        <w:rPr>
          <w:rFonts w:ascii="Constantia" w:hAnsi="Constantia"/>
          <w:sz w:val="24"/>
          <w:szCs w:val="24"/>
        </w:rPr>
        <w:t xml:space="preserve"> was administered by the Administrator General therefore the plaintiffs had no </w:t>
      </w:r>
      <w:r w:rsidR="0043158D" w:rsidRPr="0043158D">
        <w:rPr>
          <w:rFonts w:ascii="Constantia" w:hAnsi="Constantia"/>
          <w:i/>
          <w:sz w:val="24"/>
          <w:szCs w:val="24"/>
        </w:rPr>
        <w:t>locus standi</w:t>
      </w:r>
      <w:r w:rsidR="0043158D">
        <w:rPr>
          <w:rFonts w:ascii="Constantia" w:hAnsi="Constantia"/>
          <w:sz w:val="24"/>
          <w:szCs w:val="24"/>
        </w:rPr>
        <w:t xml:space="preserve"> to administer the same.  Furthermore, learned Counsel argued that the evidence on record indicated that Yonasani Were’s estate had been distributed between the deceased’s children but neither Portipher Were nor the plaintiffs benefited from such distribution so as to qualify as beneficiaries of the said </w:t>
      </w:r>
      <w:r w:rsidR="00F917E4">
        <w:rPr>
          <w:rFonts w:ascii="Constantia" w:hAnsi="Constantia"/>
          <w:sz w:val="24"/>
          <w:szCs w:val="24"/>
        </w:rPr>
        <w:t>e</w:t>
      </w:r>
      <w:r w:rsidR="0043158D">
        <w:rPr>
          <w:rFonts w:ascii="Constantia" w:hAnsi="Constantia"/>
          <w:sz w:val="24"/>
          <w:szCs w:val="24"/>
        </w:rPr>
        <w:t>state.</w:t>
      </w:r>
      <w:r w:rsidR="004C2C54">
        <w:rPr>
          <w:rFonts w:ascii="Constantia" w:hAnsi="Constantia"/>
          <w:sz w:val="24"/>
          <w:szCs w:val="24"/>
        </w:rPr>
        <w:t xml:space="preserve"> </w:t>
      </w:r>
    </w:p>
    <w:p w:rsidR="00D64F35" w:rsidRDefault="00A03005" w:rsidP="00195533">
      <w:pPr>
        <w:jc w:val="both"/>
        <w:rPr>
          <w:rFonts w:ascii="Constantia" w:hAnsi="Constantia"/>
          <w:sz w:val="24"/>
          <w:szCs w:val="24"/>
        </w:rPr>
      </w:pPr>
      <w:r>
        <w:rPr>
          <w:rFonts w:ascii="Constantia" w:hAnsi="Constantia"/>
          <w:sz w:val="24"/>
          <w:szCs w:val="24"/>
        </w:rPr>
        <w:t xml:space="preserve">In reply, learned counsel for the plaintiff contended that </w:t>
      </w:r>
      <w:r w:rsidR="004C2C54">
        <w:rPr>
          <w:rFonts w:ascii="Constantia" w:hAnsi="Constantia"/>
          <w:sz w:val="24"/>
          <w:szCs w:val="24"/>
        </w:rPr>
        <w:t xml:space="preserve">the first and second plaintiffs were grandchildren of the late Yonasani Were and beneficiaries of his estate by virtue of </w:t>
      </w:r>
      <w:r w:rsidR="004C2C54">
        <w:rPr>
          <w:rFonts w:ascii="Constantia" w:hAnsi="Constantia"/>
          <w:sz w:val="24"/>
          <w:szCs w:val="24"/>
        </w:rPr>
        <w:lastRenderedPageBreak/>
        <w:t>being children to a one Baraza (deceased), a son to Yonasani Were.  On the other hand, the third plaintiff was a daughter to the said Yonasani Were and a direct beneficiary of his estate.  It was learned counsel’s contention that as beneficiaries</w:t>
      </w:r>
      <w:r w:rsidR="00D730A3">
        <w:rPr>
          <w:rFonts w:ascii="Constantia" w:hAnsi="Constantia"/>
          <w:sz w:val="24"/>
          <w:szCs w:val="24"/>
        </w:rPr>
        <w:t xml:space="preserve"> to the estate of Yonasani Were, the plaintiffs did not have to first secure letters of administration in respect of his estate in order to file a suit in respect of land.  Counsel cited the cases of </w:t>
      </w:r>
      <w:r w:rsidR="00D730A3" w:rsidRPr="00D730A3">
        <w:rPr>
          <w:rFonts w:ascii="Constantia" w:hAnsi="Constantia"/>
          <w:b/>
          <w:sz w:val="24"/>
          <w:szCs w:val="24"/>
          <w:u w:val="single"/>
        </w:rPr>
        <w:t xml:space="preserve">Israel Kabwa vs. Martin Banoba Musiga </w:t>
      </w:r>
      <w:r w:rsidR="00C0282C">
        <w:rPr>
          <w:rFonts w:ascii="Constantia" w:hAnsi="Constantia"/>
          <w:b/>
          <w:sz w:val="24"/>
          <w:szCs w:val="24"/>
          <w:u w:val="single"/>
        </w:rPr>
        <w:t>(1996) KaLR 253 [</w:t>
      </w:r>
      <w:r w:rsidR="00D730A3" w:rsidRPr="00D730A3">
        <w:rPr>
          <w:rFonts w:ascii="Constantia" w:hAnsi="Constantia"/>
          <w:b/>
          <w:sz w:val="24"/>
          <w:szCs w:val="24"/>
          <w:u w:val="single"/>
        </w:rPr>
        <w:t>Supreme Court Civil Appeal No. 52 of 1995</w:t>
      </w:r>
      <w:r w:rsidR="00C0282C">
        <w:rPr>
          <w:rFonts w:ascii="Constantia" w:hAnsi="Constantia"/>
          <w:b/>
          <w:sz w:val="24"/>
          <w:szCs w:val="24"/>
          <w:u w:val="single"/>
        </w:rPr>
        <w:t>]</w:t>
      </w:r>
      <w:r w:rsidR="00D730A3">
        <w:rPr>
          <w:rFonts w:ascii="Constantia" w:hAnsi="Constantia"/>
          <w:sz w:val="24"/>
          <w:szCs w:val="24"/>
        </w:rPr>
        <w:t xml:space="preserve"> and </w:t>
      </w:r>
      <w:r w:rsidR="00D730A3" w:rsidRPr="00D730A3">
        <w:rPr>
          <w:rFonts w:ascii="Constantia" w:hAnsi="Constantia"/>
          <w:b/>
          <w:sz w:val="24"/>
          <w:szCs w:val="24"/>
          <w:u w:val="single"/>
        </w:rPr>
        <w:t>Solo David &amp; Mutoto Moses vs. Pagali Abdu &amp; Tukei Anson High Court Civil Appeal No. 27 of 2009</w:t>
      </w:r>
      <w:r w:rsidR="00D730A3">
        <w:rPr>
          <w:rFonts w:ascii="Constantia" w:hAnsi="Constantia"/>
          <w:sz w:val="24"/>
          <w:szCs w:val="24"/>
        </w:rPr>
        <w:t xml:space="preserve"> </w:t>
      </w:r>
      <w:r w:rsidR="00C0282C">
        <w:rPr>
          <w:rFonts w:ascii="Constantia" w:hAnsi="Constantia"/>
          <w:sz w:val="24"/>
          <w:szCs w:val="24"/>
        </w:rPr>
        <w:t xml:space="preserve">(unreported) </w:t>
      </w:r>
      <w:r w:rsidR="00D730A3">
        <w:rPr>
          <w:rFonts w:ascii="Constantia" w:hAnsi="Constantia"/>
          <w:sz w:val="24"/>
          <w:szCs w:val="24"/>
        </w:rPr>
        <w:t>in support of this position.</w:t>
      </w:r>
      <w:r w:rsidR="009E4B2E">
        <w:rPr>
          <w:rFonts w:ascii="Constantia" w:hAnsi="Constantia"/>
          <w:sz w:val="24"/>
          <w:szCs w:val="24"/>
        </w:rPr>
        <w:t xml:space="preserve">  Counsel further argued that the plaintiffs claim a share of the disputed land and had developments thereon.</w:t>
      </w:r>
    </w:p>
    <w:p w:rsidR="008D6C7B" w:rsidRDefault="008D6C7B" w:rsidP="00195533">
      <w:pPr>
        <w:jc w:val="both"/>
        <w:rPr>
          <w:rFonts w:ascii="Constantia" w:hAnsi="Constantia" w:cs="TimesNewRoman"/>
          <w:sz w:val="24"/>
          <w:szCs w:val="24"/>
          <w:lang w:val="en-US"/>
        </w:rPr>
      </w:pPr>
      <w:r>
        <w:rPr>
          <w:rFonts w:ascii="Constantia" w:hAnsi="Constantia"/>
          <w:sz w:val="24"/>
          <w:szCs w:val="24"/>
        </w:rPr>
        <w:t>I must state from the onset that the plaint</w:t>
      </w:r>
      <w:r w:rsidR="008B010E">
        <w:rPr>
          <w:rFonts w:ascii="Constantia" w:hAnsi="Constantia"/>
          <w:sz w:val="24"/>
          <w:szCs w:val="24"/>
        </w:rPr>
        <w:t xml:space="preserve"> depicts the plaint</w:t>
      </w:r>
      <w:r>
        <w:rPr>
          <w:rFonts w:ascii="Constantia" w:hAnsi="Constantia"/>
          <w:sz w:val="24"/>
          <w:szCs w:val="24"/>
        </w:rPr>
        <w:t xml:space="preserve">iffs </w:t>
      </w:r>
      <w:r w:rsidR="008B010E">
        <w:rPr>
          <w:rFonts w:ascii="Constantia" w:hAnsi="Constantia"/>
          <w:sz w:val="24"/>
          <w:szCs w:val="24"/>
        </w:rPr>
        <w:t xml:space="preserve">as having </w:t>
      </w:r>
      <w:r>
        <w:rPr>
          <w:rFonts w:ascii="Constantia" w:hAnsi="Constantia"/>
          <w:sz w:val="24"/>
          <w:szCs w:val="24"/>
        </w:rPr>
        <w:t xml:space="preserve">brought the present suit as </w:t>
      </w:r>
      <w:r w:rsidR="008B010E">
        <w:rPr>
          <w:rFonts w:ascii="Constantia" w:hAnsi="Constantia"/>
          <w:sz w:val="24"/>
          <w:szCs w:val="24"/>
        </w:rPr>
        <w:t xml:space="preserve">holders of letters of administration for the estate of Portipher Were, in the case of the first and second plaintiffs; and as a beneficiary of that estate in the case of the third plaintiff, and not as </w:t>
      </w:r>
      <w:r>
        <w:rPr>
          <w:rFonts w:ascii="Constantia" w:hAnsi="Constantia"/>
          <w:sz w:val="24"/>
          <w:szCs w:val="24"/>
        </w:rPr>
        <w:t xml:space="preserve">beneficiaries of Yonasani Were </w:t>
      </w:r>
      <w:r w:rsidR="008B010E">
        <w:rPr>
          <w:rFonts w:ascii="Constantia" w:hAnsi="Constantia"/>
          <w:sz w:val="24"/>
          <w:szCs w:val="24"/>
        </w:rPr>
        <w:t>as is now asserted in submissions</w:t>
      </w:r>
      <w:r>
        <w:rPr>
          <w:rFonts w:ascii="Constantia" w:hAnsi="Constantia"/>
          <w:sz w:val="24"/>
          <w:szCs w:val="24"/>
        </w:rPr>
        <w:t xml:space="preserve">.  Nonetheless, this court is mindful of the direction provided in the case of </w:t>
      </w:r>
      <w:r w:rsidR="0043044F" w:rsidRPr="00335C8D">
        <w:rPr>
          <w:rFonts w:ascii="Constantia" w:hAnsi="Constantia" w:cs="TimesNewRoman"/>
          <w:b/>
          <w:sz w:val="24"/>
          <w:szCs w:val="24"/>
          <w:u w:val="single"/>
          <w:lang w:val="en-US"/>
        </w:rPr>
        <w:t xml:space="preserve">Uganda Breweries Ltd vs. Uganda Railways </w:t>
      </w:r>
      <w:r w:rsidR="0043044F">
        <w:rPr>
          <w:rFonts w:ascii="Constantia" w:hAnsi="Constantia" w:cs="TimesNewRoman"/>
          <w:b/>
          <w:sz w:val="24"/>
          <w:szCs w:val="24"/>
          <w:u w:val="single"/>
          <w:lang w:val="en-US"/>
        </w:rPr>
        <w:t xml:space="preserve">Supreme Court </w:t>
      </w:r>
      <w:r w:rsidR="0043044F" w:rsidRPr="00335C8D">
        <w:rPr>
          <w:rFonts w:ascii="Constantia" w:hAnsi="Constantia" w:cs="TimesNewRoman"/>
          <w:b/>
          <w:sz w:val="24"/>
          <w:szCs w:val="24"/>
          <w:u w:val="single"/>
          <w:lang w:val="en-US"/>
        </w:rPr>
        <w:t>Civil Appeal No.6 of 2001</w:t>
      </w:r>
      <w:r w:rsidR="0043044F">
        <w:rPr>
          <w:rFonts w:ascii="Constantia" w:hAnsi="Constantia" w:cs="TimesNewRoman"/>
          <w:sz w:val="24"/>
          <w:szCs w:val="24"/>
          <w:lang w:val="en-US"/>
        </w:rPr>
        <w:t xml:space="preserve"> </w:t>
      </w:r>
      <w:r>
        <w:rPr>
          <w:rFonts w:ascii="Constantia" w:hAnsi="Constantia"/>
          <w:sz w:val="24"/>
          <w:szCs w:val="24"/>
        </w:rPr>
        <w:t xml:space="preserve"> where the trial court was similarly faced with </w:t>
      </w:r>
      <w:r w:rsidR="00AD1B35">
        <w:rPr>
          <w:rFonts w:ascii="Constantia" w:hAnsi="Constantia"/>
          <w:sz w:val="24"/>
          <w:szCs w:val="24"/>
        </w:rPr>
        <w:t xml:space="preserve">a party’s departure from its pleadings.  In that case </w:t>
      </w:r>
      <w:r w:rsidR="00AD1B35">
        <w:rPr>
          <w:rFonts w:ascii="Constantia" w:hAnsi="Constantia" w:cs="TimesNewRoman"/>
          <w:sz w:val="24"/>
          <w:szCs w:val="24"/>
          <w:lang w:val="en-US"/>
        </w:rPr>
        <w:t>Oder JSC held:</w:t>
      </w:r>
    </w:p>
    <w:p w:rsidR="00AD1B35" w:rsidRDefault="00AD1B35" w:rsidP="00AD1B35">
      <w:pPr>
        <w:ind w:left="720"/>
        <w:jc w:val="both"/>
        <w:rPr>
          <w:rFonts w:ascii="Constantia" w:hAnsi="Constantia" w:cs="TimesNewRoman"/>
          <w:sz w:val="24"/>
          <w:szCs w:val="24"/>
          <w:lang w:val="en-US"/>
        </w:rPr>
      </w:pPr>
      <w:r>
        <w:rPr>
          <w:rFonts w:ascii="Constantia" w:hAnsi="Constantia" w:cs="TimesNewRoman"/>
          <w:sz w:val="24"/>
          <w:szCs w:val="24"/>
          <w:lang w:val="en-US"/>
        </w:rPr>
        <w:t>“</w:t>
      </w:r>
      <w:r w:rsidRPr="00335C8D">
        <w:rPr>
          <w:rFonts w:ascii="Constantia" w:hAnsi="Constantia" w:cs="TimesNewRoman"/>
          <w:b/>
          <w:sz w:val="24"/>
          <w:szCs w:val="24"/>
          <w:lang w:val="en-US"/>
        </w:rPr>
        <w:t xml:space="preserve">To my mind the questions for decision under ground 2(i) of the appeal appears to be </w:t>
      </w:r>
      <w:r w:rsidRPr="00A7337A">
        <w:rPr>
          <w:rFonts w:ascii="Constantia" w:hAnsi="Constantia" w:cs="TimesNewRoman"/>
          <w:b/>
          <w:sz w:val="24"/>
          <w:szCs w:val="24"/>
          <w:lang w:val="en-US"/>
        </w:rPr>
        <w:t>whether the party complaining had fair notice of the case he had to meet; whether the departure from pleadings caused a failure of justice to the party complaining</w:t>
      </w:r>
      <w:r>
        <w:rPr>
          <w:rFonts w:ascii="Constantia" w:hAnsi="Constantia" w:cs="TimesNewRoman"/>
          <w:b/>
          <w:sz w:val="24"/>
          <w:szCs w:val="24"/>
          <w:lang w:val="en-US"/>
        </w:rPr>
        <w:t xml:space="preserve"> (in the instant case the appellant); or whether the departure was a mere irregularity, not fatal to the case of the respondent whose evidence departed from its pleadings.</w:t>
      </w:r>
      <w:r w:rsidRPr="00335C8D">
        <w:rPr>
          <w:rFonts w:ascii="Constantia" w:hAnsi="Constantia" w:cs="TimesNewRoman"/>
          <w:sz w:val="24"/>
          <w:szCs w:val="24"/>
          <w:lang w:val="en-US"/>
        </w:rPr>
        <w:t xml:space="preserve">” </w:t>
      </w:r>
    </w:p>
    <w:p w:rsidR="00AD1B35" w:rsidRDefault="00AD1B35" w:rsidP="00195533">
      <w:pPr>
        <w:jc w:val="both"/>
        <w:rPr>
          <w:rFonts w:ascii="Constantia" w:hAnsi="Constantia"/>
          <w:sz w:val="24"/>
          <w:szCs w:val="24"/>
        </w:rPr>
      </w:pPr>
      <w:r>
        <w:rPr>
          <w:rFonts w:ascii="Constantia" w:hAnsi="Constantia" w:cs="TimesNewRoman"/>
          <w:sz w:val="24"/>
          <w:szCs w:val="24"/>
          <w:lang w:val="en-US"/>
        </w:rPr>
        <w:t xml:space="preserve">Referring to his earlier decision in </w:t>
      </w:r>
      <w:r w:rsidRPr="00C137B4">
        <w:rPr>
          <w:rFonts w:ascii="Constantia" w:hAnsi="Constantia" w:cs="TimesNewRoman"/>
          <w:b/>
          <w:sz w:val="24"/>
          <w:szCs w:val="24"/>
          <w:u w:val="single"/>
          <w:lang w:val="en-US"/>
        </w:rPr>
        <w:t xml:space="preserve">Interfreight Forwarders (U) Ltd vs. East African Development Bank </w:t>
      </w:r>
      <w:r w:rsidR="0043044F">
        <w:rPr>
          <w:rFonts w:ascii="Constantia" w:hAnsi="Constantia" w:cs="TimesNewRoman"/>
          <w:b/>
          <w:sz w:val="24"/>
          <w:szCs w:val="24"/>
          <w:u w:val="single"/>
          <w:lang w:val="en-US"/>
        </w:rPr>
        <w:t xml:space="preserve">Supreme Court </w:t>
      </w:r>
      <w:r w:rsidRPr="00C137B4">
        <w:rPr>
          <w:rFonts w:ascii="Constantia" w:hAnsi="Constantia" w:cs="TimesNewRoman"/>
          <w:b/>
          <w:sz w:val="24"/>
          <w:szCs w:val="24"/>
          <w:u w:val="single"/>
          <w:lang w:val="en-US"/>
        </w:rPr>
        <w:t>Civil Appeal No. 33 of 1993</w:t>
      </w:r>
      <w:r>
        <w:rPr>
          <w:rFonts w:ascii="Constantia" w:hAnsi="Constantia" w:cs="TimesNewRoman"/>
          <w:sz w:val="24"/>
          <w:szCs w:val="24"/>
          <w:lang w:val="en-US"/>
        </w:rPr>
        <w:t xml:space="preserve"> (unreported), his lordship observed that in the </w:t>
      </w:r>
      <w:r w:rsidRPr="00AD1B35">
        <w:rPr>
          <w:rFonts w:ascii="Constantia" w:hAnsi="Constantia" w:cs="TimesNewRoman"/>
          <w:b/>
          <w:sz w:val="24"/>
          <w:szCs w:val="24"/>
          <w:u w:val="single"/>
          <w:lang w:val="en-US"/>
        </w:rPr>
        <w:t>Interfreight Forwarders</w:t>
      </w:r>
      <w:r>
        <w:rPr>
          <w:rFonts w:ascii="Constantia" w:hAnsi="Constantia" w:cs="TimesNewRoman"/>
          <w:sz w:val="24"/>
          <w:szCs w:val="24"/>
          <w:lang w:val="en-US"/>
        </w:rPr>
        <w:t xml:space="preserve"> case </w:t>
      </w:r>
      <w:r w:rsidRPr="00AD1B35">
        <w:rPr>
          <w:rFonts w:ascii="Constantia" w:hAnsi="Constantia" w:cs="TimesNewRoman"/>
          <w:sz w:val="24"/>
          <w:szCs w:val="24"/>
          <w:lang w:val="en-US"/>
        </w:rPr>
        <w:t>the cause of action proved had been a complete departure from what had been pleaded by the respondent.</w:t>
      </w:r>
      <w:r>
        <w:rPr>
          <w:rFonts w:ascii="Constantia" w:hAnsi="Constantia"/>
          <w:sz w:val="24"/>
          <w:szCs w:val="24"/>
        </w:rPr>
        <w:t xml:space="preserve">  The pertinent part cited is reproduced for ease of reference:</w:t>
      </w:r>
    </w:p>
    <w:p w:rsidR="00AD1B35" w:rsidRPr="00C137B4" w:rsidRDefault="00AD1B35" w:rsidP="00AD1B35">
      <w:pPr>
        <w:ind w:left="720"/>
        <w:jc w:val="both"/>
        <w:rPr>
          <w:rFonts w:ascii="Constantia" w:hAnsi="Constantia" w:cs="TimesNewRoman"/>
          <w:b/>
          <w:sz w:val="24"/>
          <w:szCs w:val="24"/>
          <w:lang w:val="en-US"/>
        </w:rPr>
      </w:pPr>
      <w:r>
        <w:rPr>
          <w:rFonts w:ascii="Constantia" w:hAnsi="Constantia" w:cs="TimesNewRoman"/>
          <w:sz w:val="24"/>
          <w:szCs w:val="24"/>
          <w:lang w:val="en-US"/>
        </w:rPr>
        <w:t>“</w:t>
      </w:r>
      <w:r>
        <w:rPr>
          <w:rFonts w:ascii="Constantia" w:hAnsi="Constantia" w:cs="TimesNewRoman"/>
          <w:b/>
          <w:sz w:val="24"/>
          <w:szCs w:val="24"/>
          <w:lang w:val="en-US"/>
        </w:rPr>
        <w:t xml:space="preserve">In </w:t>
      </w:r>
      <w:r w:rsidRPr="00C137B4">
        <w:rPr>
          <w:rFonts w:ascii="Constantia" w:hAnsi="Constantia" w:cs="TimesNewRoman"/>
          <w:b/>
          <w:i/>
          <w:sz w:val="24"/>
          <w:szCs w:val="24"/>
          <w:u w:val="single"/>
          <w:lang w:val="en-US"/>
        </w:rPr>
        <w:t>Interfreight Forwarders (U) Ltd</w:t>
      </w:r>
      <w:r>
        <w:rPr>
          <w:rFonts w:ascii="Constantia" w:hAnsi="Constantia" w:cs="TimesNewRoman"/>
          <w:b/>
          <w:sz w:val="24"/>
          <w:szCs w:val="24"/>
          <w:lang w:val="en-US"/>
        </w:rPr>
        <w:t xml:space="preserve"> (supra) the cause of action as stated in the plaint and reflected in the issues framed by the party at trial was negligence.  But the learned trial judge erred when he found in the alternative that the respondent was liable on a different cause of action namely, as a common carrier, which puts strict liability on the carrier for any change or loss to goods he accepts to carry.  This court upheld the ground of appeal complaining against the trial judge’s finding to that effect </w:t>
      </w:r>
      <w:r>
        <w:rPr>
          <w:rFonts w:ascii="Constantia" w:hAnsi="Constantia" w:cs="TimesNewRoman"/>
          <w:b/>
          <w:sz w:val="24"/>
          <w:szCs w:val="24"/>
          <w:lang w:val="en-US"/>
        </w:rPr>
        <w:lastRenderedPageBreak/>
        <w:t xml:space="preserve">on the ground that </w:t>
      </w:r>
      <w:r>
        <w:rPr>
          <w:rFonts w:ascii="Constantia" w:hAnsi="Constantia" w:cs="TimesNewRoman"/>
          <w:b/>
          <w:sz w:val="24"/>
          <w:szCs w:val="24"/>
          <w:u w:val="single"/>
          <w:lang w:val="en-US"/>
        </w:rPr>
        <w:t>the cause of action proved was a complete departure from what had been pleaded by the respondent</w:t>
      </w:r>
      <w:r w:rsidRPr="00C137B4">
        <w:rPr>
          <w:rFonts w:ascii="Constantia" w:hAnsi="Constantia" w:cs="TimesNewRoman"/>
          <w:b/>
          <w:sz w:val="24"/>
          <w:szCs w:val="24"/>
          <w:lang w:val="en-US"/>
        </w:rPr>
        <w:t xml:space="preserve">.” </w:t>
      </w:r>
      <w:r w:rsidRPr="00C137B4">
        <w:rPr>
          <w:rFonts w:ascii="Constantia" w:hAnsi="Constantia" w:cs="TimesNewRoman"/>
          <w:i/>
          <w:sz w:val="24"/>
          <w:szCs w:val="24"/>
          <w:lang w:val="en-US"/>
        </w:rPr>
        <w:t>(emphasis mine)</w:t>
      </w:r>
      <w:r>
        <w:rPr>
          <w:rFonts w:ascii="Constantia" w:hAnsi="Constantia" w:cs="TimesNewRoman"/>
          <w:b/>
          <w:sz w:val="24"/>
          <w:szCs w:val="24"/>
          <w:u w:val="single"/>
          <w:lang w:val="en-US"/>
        </w:rPr>
        <w:t xml:space="preserve"> </w:t>
      </w:r>
      <w:r>
        <w:rPr>
          <w:rFonts w:ascii="Constantia" w:hAnsi="Constantia" w:cs="TimesNewRoman"/>
          <w:b/>
          <w:sz w:val="24"/>
          <w:szCs w:val="24"/>
          <w:lang w:val="en-US"/>
        </w:rPr>
        <w:t xml:space="preserve"> </w:t>
      </w:r>
    </w:p>
    <w:p w:rsidR="00A7337A" w:rsidRDefault="00AD1B35" w:rsidP="00195533">
      <w:pPr>
        <w:jc w:val="both"/>
        <w:rPr>
          <w:rFonts w:ascii="Constantia" w:hAnsi="Constantia"/>
          <w:sz w:val="24"/>
          <w:szCs w:val="24"/>
        </w:rPr>
      </w:pPr>
      <w:r>
        <w:rPr>
          <w:rFonts w:ascii="Constantia" w:hAnsi="Constantia"/>
          <w:sz w:val="24"/>
          <w:szCs w:val="24"/>
        </w:rPr>
        <w:t xml:space="preserve">In the instant case I find that the </w:t>
      </w:r>
      <w:r w:rsidR="008B010E">
        <w:rPr>
          <w:rFonts w:ascii="Constantia" w:hAnsi="Constantia"/>
          <w:sz w:val="24"/>
          <w:szCs w:val="24"/>
        </w:rPr>
        <w:t>variance between the plaint and learned counsel’s submission herein</w:t>
      </w:r>
      <w:r>
        <w:rPr>
          <w:rFonts w:ascii="Constantia" w:hAnsi="Constantia"/>
          <w:sz w:val="24"/>
          <w:szCs w:val="24"/>
        </w:rPr>
        <w:t xml:space="preserve"> does not entail a complete departure from the cause of action of fraud</w:t>
      </w:r>
      <w:r w:rsidR="0084754A">
        <w:rPr>
          <w:rFonts w:ascii="Constantia" w:hAnsi="Constantia"/>
          <w:sz w:val="24"/>
          <w:szCs w:val="24"/>
        </w:rPr>
        <w:t xml:space="preserve"> that was pleaded</w:t>
      </w:r>
      <w:r>
        <w:rPr>
          <w:rFonts w:ascii="Constantia" w:hAnsi="Constantia"/>
          <w:sz w:val="24"/>
          <w:szCs w:val="24"/>
        </w:rPr>
        <w:t xml:space="preserve">.  </w:t>
      </w:r>
      <w:r w:rsidR="00A5334E">
        <w:rPr>
          <w:rFonts w:ascii="Constantia" w:hAnsi="Constantia"/>
          <w:sz w:val="24"/>
          <w:szCs w:val="24"/>
        </w:rPr>
        <w:t xml:space="preserve">The plaintiffs pleaded such facts in the plaint as would have put the </w:t>
      </w:r>
      <w:r w:rsidR="00A7337A">
        <w:rPr>
          <w:rFonts w:ascii="Constantia" w:hAnsi="Constantia"/>
          <w:sz w:val="24"/>
          <w:szCs w:val="24"/>
        </w:rPr>
        <w:t xml:space="preserve">defendants herein </w:t>
      </w:r>
      <w:r w:rsidR="00A5334E">
        <w:rPr>
          <w:rFonts w:ascii="Constantia" w:hAnsi="Constantia"/>
          <w:sz w:val="24"/>
          <w:szCs w:val="24"/>
        </w:rPr>
        <w:t xml:space="preserve">on reasonable </w:t>
      </w:r>
      <w:r w:rsidR="00A7337A">
        <w:rPr>
          <w:rFonts w:ascii="Constantia" w:hAnsi="Constantia"/>
          <w:sz w:val="24"/>
          <w:szCs w:val="24"/>
        </w:rPr>
        <w:t>notice of the nature of the case against them and the nexus between the plaintiffs and Yonasani Were</w:t>
      </w:r>
      <w:r w:rsidR="00A5334E">
        <w:rPr>
          <w:rFonts w:ascii="Constantia" w:hAnsi="Constantia"/>
          <w:sz w:val="24"/>
          <w:szCs w:val="24"/>
        </w:rPr>
        <w:t>.  Thus th</w:t>
      </w:r>
      <w:r w:rsidR="00A7337A">
        <w:rPr>
          <w:rFonts w:ascii="Constantia" w:hAnsi="Constantia"/>
          <w:sz w:val="24"/>
          <w:szCs w:val="24"/>
        </w:rPr>
        <w:t>e c</w:t>
      </w:r>
      <w:r w:rsidR="007A7FF3">
        <w:rPr>
          <w:rFonts w:ascii="Constantia" w:hAnsi="Constantia"/>
          <w:sz w:val="24"/>
          <w:szCs w:val="24"/>
        </w:rPr>
        <w:t xml:space="preserve">ontention that </w:t>
      </w:r>
      <w:r w:rsidR="00A7337A">
        <w:rPr>
          <w:rFonts w:ascii="Constantia" w:hAnsi="Constantia"/>
          <w:sz w:val="24"/>
          <w:szCs w:val="24"/>
        </w:rPr>
        <w:t xml:space="preserve">the plaintiffs </w:t>
      </w:r>
      <w:r w:rsidR="007A7FF3">
        <w:rPr>
          <w:rFonts w:ascii="Constantia" w:hAnsi="Constantia"/>
          <w:sz w:val="24"/>
          <w:szCs w:val="24"/>
        </w:rPr>
        <w:t>were</w:t>
      </w:r>
      <w:r w:rsidR="00A5334E">
        <w:rPr>
          <w:rFonts w:ascii="Constantia" w:hAnsi="Constantia"/>
          <w:sz w:val="24"/>
          <w:szCs w:val="24"/>
        </w:rPr>
        <w:t xml:space="preserve"> </w:t>
      </w:r>
      <w:r w:rsidR="00A7337A">
        <w:rPr>
          <w:rFonts w:ascii="Constantia" w:hAnsi="Constantia"/>
          <w:sz w:val="24"/>
          <w:szCs w:val="24"/>
        </w:rPr>
        <w:t>beneficiaries o</w:t>
      </w:r>
      <w:r w:rsidR="0084754A">
        <w:rPr>
          <w:rFonts w:ascii="Constantia" w:hAnsi="Constantia"/>
          <w:sz w:val="24"/>
          <w:szCs w:val="24"/>
        </w:rPr>
        <w:t>f</w:t>
      </w:r>
      <w:r w:rsidR="00A7337A">
        <w:rPr>
          <w:rFonts w:ascii="Constantia" w:hAnsi="Constantia"/>
          <w:sz w:val="24"/>
          <w:szCs w:val="24"/>
        </w:rPr>
        <w:t xml:space="preserve"> Yonasani Were’s estate would not cause the</w:t>
      </w:r>
      <w:r w:rsidR="00A5334E">
        <w:rPr>
          <w:rFonts w:ascii="Constantia" w:hAnsi="Constantia"/>
          <w:sz w:val="24"/>
          <w:szCs w:val="24"/>
        </w:rPr>
        <w:t xml:space="preserve"> </w:t>
      </w:r>
      <w:r w:rsidR="007951BA">
        <w:rPr>
          <w:rFonts w:ascii="Constantia" w:hAnsi="Constantia"/>
          <w:sz w:val="24"/>
          <w:szCs w:val="24"/>
        </w:rPr>
        <w:t>defendants</w:t>
      </w:r>
      <w:r w:rsidR="00A7337A">
        <w:rPr>
          <w:rFonts w:ascii="Constantia" w:hAnsi="Constantia"/>
          <w:sz w:val="24"/>
          <w:szCs w:val="24"/>
        </w:rPr>
        <w:t xml:space="preserve"> </w:t>
      </w:r>
      <w:r w:rsidR="00A5334E">
        <w:rPr>
          <w:rFonts w:ascii="Constantia" w:hAnsi="Constantia"/>
          <w:sz w:val="24"/>
          <w:szCs w:val="24"/>
        </w:rPr>
        <w:t xml:space="preserve">any </w:t>
      </w:r>
      <w:r w:rsidR="00A7337A">
        <w:rPr>
          <w:rFonts w:ascii="Constantia" w:hAnsi="Constantia"/>
          <w:sz w:val="24"/>
          <w:szCs w:val="24"/>
        </w:rPr>
        <w:t xml:space="preserve">injustice.  </w:t>
      </w:r>
    </w:p>
    <w:p w:rsidR="00F917E4" w:rsidRDefault="00A5334E" w:rsidP="00195533">
      <w:pPr>
        <w:jc w:val="both"/>
        <w:rPr>
          <w:rFonts w:ascii="Constantia" w:hAnsi="Constantia"/>
          <w:sz w:val="24"/>
          <w:szCs w:val="24"/>
        </w:rPr>
      </w:pPr>
      <w:r>
        <w:rPr>
          <w:rFonts w:ascii="Constantia" w:hAnsi="Constantia"/>
          <w:sz w:val="24"/>
          <w:szCs w:val="24"/>
        </w:rPr>
        <w:t xml:space="preserve">Be that as it may, </w:t>
      </w:r>
      <w:r w:rsidR="00F917E4">
        <w:rPr>
          <w:rFonts w:ascii="Constantia" w:hAnsi="Constantia"/>
          <w:sz w:val="24"/>
          <w:szCs w:val="24"/>
        </w:rPr>
        <w:t xml:space="preserve">I have carefully reviewed the law applicable to the issue of </w:t>
      </w:r>
      <w:r w:rsidR="00F917E4" w:rsidRPr="00F917E4">
        <w:rPr>
          <w:rFonts w:ascii="Constantia" w:hAnsi="Constantia"/>
          <w:i/>
          <w:sz w:val="24"/>
          <w:szCs w:val="24"/>
        </w:rPr>
        <w:t>locus standi</w:t>
      </w:r>
      <w:r w:rsidR="00F917E4">
        <w:rPr>
          <w:rFonts w:ascii="Constantia" w:hAnsi="Constantia"/>
          <w:sz w:val="24"/>
          <w:szCs w:val="24"/>
        </w:rPr>
        <w:t xml:space="preserve"> to institute legal proceedings such as the present suit.  Section 191 of the Succession Act that was cited by Mr. Othieno states:</w:t>
      </w:r>
    </w:p>
    <w:p w:rsidR="00F917E4" w:rsidRDefault="00F917E4" w:rsidP="00F917E4">
      <w:pPr>
        <w:ind w:left="720"/>
        <w:jc w:val="both"/>
        <w:rPr>
          <w:rFonts w:ascii="Constantia" w:hAnsi="Constantia"/>
          <w:sz w:val="24"/>
          <w:szCs w:val="24"/>
        </w:rPr>
      </w:pPr>
      <w:r>
        <w:rPr>
          <w:rFonts w:ascii="Constantia" w:hAnsi="Constantia"/>
          <w:sz w:val="24"/>
          <w:szCs w:val="24"/>
        </w:rPr>
        <w:t>“</w:t>
      </w:r>
      <w:r w:rsidRPr="00885CEB">
        <w:rPr>
          <w:rFonts w:ascii="Constantia" w:hAnsi="Constantia"/>
          <w:b/>
          <w:sz w:val="24"/>
          <w:szCs w:val="24"/>
        </w:rPr>
        <w:t>Except as hereafter provided</w:t>
      </w:r>
      <w:r w:rsidRPr="00F917E4">
        <w:rPr>
          <w:rFonts w:ascii="Constantia" w:hAnsi="Constantia"/>
          <w:b/>
          <w:sz w:val="24"/>
          <w:szCs w:val="24"/>
        </w:rPr>
        <w:t xml:space="preserve">, but subject to section 4 of the Administrator General’s Act, </w:t>
      </w:r>
      <w:r w:rsidRPr="00624670">
        <w:rPr>
          <w:rFonts w:ascii="Constantia" w:hAnsi="Constantia"/>
          <w:b/>
          <w:sz w:val="24"/>
          <w:szCs w:val="24"/>
          <w:u w:val="single"/>
        </w:rPr>
        <w:t>no right</w:t>
      </w:r>
      <w:r w:rsidRPr="00F917E4">
        <w:rPr>
          <w:rFonts w:ascii="Constantia" w:hAnsi="Constantia"/>
          <w:b/>
          <w:sz w:val="24"/>
          <w:szCs w:val="24"/>
        </w:rPr>
        <w:t xml:space="preserve"> to any part of the property of a person who has died intestate shall be established in any court of justice unless letters of administration have first been granted by a court of competent jurisdiction</w:t>
      </w:r>
      <w:r>
        <w:rPr>
          <w:rFonts w:ascii="Constantia" w:hAnsi="Constantia"/>
          <w:sz w:val="24"/>
          <w:szCs w:val="24"/>
        </w:rPr>
        <w:t>.”</w:t>
      </w:r>
    </w:p>
    <w:p w:rsidR="002B05BD" w:rsidRDefault="0084754A" w:rsidP="002B05BD">
      <w:pPr>
        <w:jc w:val="both"/>
        <w:rPr>
          <w:rFonts w:ascii="Constantia" w:hAnsi="Constantia"/>
          <w:sz w:val="24"/>
          <w:szCs w:val="24"/>
        </w:rPr>
      </w:pPr>
      <w:r>
        <w:rPr>
          <w:rFonts w:ascii="Constantia" w:hAnsi="Constantia"/>
          <w:sz w:val="24"/>
          <w:szCs w:val="24"/>
        </w:rPr>
        <w:t>S</w:t>
      </w:r>
      <w:r w:rsidR="00F917E4">
        <w:rPr>
          <w:rFonts w:ascii="Constantia" w:hAnsi="Constantia"/>
          <w:sz w:val="24"/>
          <w:szCs w:val="24"/>
        </w:rPr>
        <w:t>e</w:t>
      </w:r>
      <w:r w:rsidR="00F1337A">
        <w:rPr>
          <w:rFonts w:ascii="Constantia" w:hAnsi="Constantia"/>
          <w:sz w:val="24"/>
          <w:szCs w:val="24"/>
        </w:rPr>
        <w:t xml:space="preserve">ction 191 forestalls any </w:t>
      </w:r>
      <w:r w:rsidR="00F917E4">
        <w:rPr>
          <w:rFonts w:ascii="Constantia" w:hAnsi="Constantia"/>
          <w:sz w:val="24"/>
          <w:szCs w:val="24"/>
        </w:rPr>
        <w:t>r</w:t>
      </w:r>
      <w:r w:rsidR="00F1337A">
        <w:rPr>
          <w:rFonts w:ascii="Constantia" w:hAnsi="Constantia"/>
          <w:sz w:val="24"/>
          <w:szCs w:val="24"/>
        </w:rPr>
        <w:t xml:space="preserve">ight to claim for </w:t>
      </w:r>
      <w:r w:rsidR="00F917E4">
        <w:rPr>
          <w:rFonts w:ascii="Constantia" w:hAnsi="Constantia"/>
          <w:sz w:val="24"/>
          <w:szCs w:val="24"/>
        </w:rPr>
        <w:t>property of a</w:t>
      </w:r>
      <w:r>
        <w:rPr>
          <w:rFonts w:ascii="Constantia" w:hAnsi="Constantia"/>
          <w:sz w:val="24"/>
          <w:szCs w:val="24"/>
        </w:rPr>
        <w:t>n</w:t>
      </w:r>
      <w:r w:rsidR="00F917E4">
        <w:rPr>
          <w:rFonts w:ascii="Constantia" w:hAnsi="Constantia"/>
          <w:sz w:val="24"/>
          <w:szCs w:val="24"/>
        </w:rPr>
        <w:t xml:space="preserve"> intestate until letters of a</w:t>
      </w:r>
      <w:r w:rsidR="002033B9">
        <w:rPr>
          <w:rFonts w:ascii="Constantia" w:hAnsi="Constantia"/>
          <w:sz w:val="24"/>
          <w:szCs w:val="24"/>
        </w:rPr>
        <w:t>dministration in respect of his or</w:t>
      </w:r>
      <w:r w:rsidR="00F917E4">
        <w:rPr>
          <w:rFonts w:ascii="Constantia" w:hAnsi="Constantia"/>
          <w:sz w:val="24"/>
          <w:szCs w:val="24"/>
        </w:rPr>
        <w:t xml:space="preserve"> her estate have been duly granted.</w:t>
      </w:r>
      <w:r w:rsidR="00885CEB">
        <w:rPr>
          <w:rFonts w:ascii="Constantia" w:hAnsi="Constantia"/>
          <w:sz w:val="24"/>
          <w:szCs w:val="24"/>
        </w:rPr>
        <w:t xml:space="preserve">  </w:t>
      </w:r>
      <w:r w:rsidR="00F1337A">
        <w:rPr>
          <w:rFonts w:ascii="Constantia" w:hAnsi="Constantia"/>
          <w:sz w:val="24"/>
          <w:szCs w:val="24"/>
        </w:rPr>
        <w:t xml:space="preserve">In other words section 191 negates </w:t>
      </w:r>
      <w:r w:rsidR="00F1337A" w:rsidRPr="0055576A">
        <w:rPr>
          <w:rFonts w:ascii="Constantia" w:hAnsi="Constantia"/>
          <w:i/>
          <w:sz w:val="24"/>
          <w:szCs w:val="24"/>
        </w:rPr>
        <w:t xml:space="preserve">locus </w:t>
      </w:r>
      <w:r w:rsidR="0055576A" w:rsidRPr="0055576A">
        <w:rPr>
          <w:rFonts w:ascii="Constantia" w:hAnsi="Constantia"/>
          <w:i/>
          <w:sz w:val="24"/>
          <w:szCs w:val="24"/>
        </w:rPr>
        <w:t>standi</w:t>
      </w:r>
      <w:r w:rsidR="0055576A">
        <w:rPr>
          <w:rFonts w:ascii="Constantia" w:hAnsi="Constantia"/>
          <w:sz w:val="24"/>
          <w:szCs w:val="24"/>
        </w:rPr>
        <w:t xml:space="preserve"> </w:t>
      </w:r>
      <w:r w:rsidR="00F1337A">
        <w:rPr>
          <w:rFonts w:ascii="Constantia" w:hAnsi="Constantia"/>
          <w:sz w:val="24"/>
          <w:szCs w:val="24"/>
        </w:rPr>
        <w:t xml:space="preserve">to claim for property of an intestate until letters of administration shall have been granted in respect of such estate.  </w:t>
      </w:r>
      <w:r w:rsidR="0055576A">
        <w:rPr>
          <w:rFonts w:ascii="Constantia" w:hAnsi="Constantia"/>
          <w:sz w:val="24"/>
          <w:szCs w:val="24"/>
        </w:rPr>
        <w:t xml:space="preserve">The law </w:t>
      </w:r>
      <w:r>
        <w:rPr>
          <w:rFonts w:ascii="Constantia" w:hAnsi="Constantia"/>
          <w:sz w:val="24"/>
          <w:szCs w:val="24"/>
        </w:rPr>
        <w:t xml:space="preserve">thus </w:t>
      </w:r>
      <w:r w:rsidR="0055576A">
        <w:rPr>
          <w:rFonts w:ascii="Constantia" w:hAnsi="Constantia"/>
          <w:sz w:val="24"/>
          <w:szCs w:val="24"/>
        </w:rPr>
        <w:t xml:space="preserve">seems to protect an intestate’s estate from claims from persons that have not been established as beneficiaries thereof.  </w:t>
      </w:r>
    </w:p>
    <w:p w:rsidR="002B05BD" w:rsidRDefault="0084754A" w:rsidP="00F917E4">
      <w:pPr>
        <w:jc w:val="both"/>
        <w:rPr>
          <w:rFonts w:ascii="Constantia" w:hAnsi="Constantia"/>
          <w:sz w:val="24"/>
          <w:szCs w:val="24"/>
        </w:rPr>
      </w:pPr>
      <w:r>
        <w:rPr>
          <w:rFonts w:ascii="Constantia" w:hAnsi="Constantia"/>
          <w:sz w:val="24"/>
          <w:szCs w:val="24"/>
        </w:rPr>
        <w:t xml:space="preserve">Nonetheless, </w:t>
      </w:r>
      <w:r w:rsidR="00A26BAB">
        <w:rPr>
          <w:rFonts w:ascii="Constantia" w:hAnsi="Constantia"/>
          <w:sz w:val="24"/>
          <w:szCs w:val="24"/>
        </w:rPr>
        <w:t>t</w:t>
      </w:r>
      <w:r w:rsidR="0053649A" w:rsidRPr="0053649A">
        <w:rPr>
          <w:rFonts w:ascii="Constantia" w:hAnsi="Constantia"/>
          <w:sz w:val="24"/>
          <w:szCs w:val="24"/>
        </w:rPr>
        <w:t xml:space="preserve">he case of </w:t>
      </w:r>
      <w:r w:rsidR="00EA61A2" w:rsidRPr="00D730A3">
        <w:rPr>
          <w:rFonts w:ascii="Constantia" w:hAnsi="Constantia"/>
          <w:b/>
          <w:sz w:val="24"/>
          <w:szCs w:val="24"/>
          <w:u w:val="single"/>
        </w:rPr>
        <w:t>Israel Kabwa vs. Martin Banoba Musiga</w:t>
      </w:r>
      <w:r w:rsidR="00EA61A2">
        <w:rPr>
          <w:rFonts w:ascii="Constantia" w:hAnsi="Constantia"/>
          <w:sz w:val="24"/>
          <w:szCs w:val="24"/>
        </w:rPr>
        <w:t xml:space="preserve"> (supra) did recognise legitimate beneficiaries’ right to protect their interest in an intestate’s estate.  </w:t>
      </w:r>
      <w:r w:rsidR="00A03005">
        <w:rPr>
          <w:rFonts w:ascii="Constantia" w:hAnsi="Constantia"/>
          <w:sz w:val="24"/>
          <w:szCs w:val="24"/>
        </w:rPr>
        <w:t xml:space="preserve">In </w:t>
      </w:r>
      <w:r w:rsidR="00EA61A2">
        <w:rPr>
          <w:rFonts w:ascii="Constantia" w:hAnsi="Constantia"/>
          <w:sz w:val="24"/>
          <w:szCs w:val="24"/>
        </w:rPr>
        <w:t>that case</w:t>
      </w:r>
      <w:r w:rsidR="002B05BD">
        <w:rPr>
          <w:rFonts w:ascii="Constantia" w:hAnsi="Constantia"/>
          <w:sz w:val="24"/>
          <w:szCs w:val="24"/>
        </w:rPr>
        <w:t xml:space="preserve"> </w:t>
      </w:r>
      <w:r w:rsidR="00A03005">
        <w:rPr>
          <w:rFonts w:ascii="Constantia" w:hAnsi="Constantia"/>
          <w:sz w:val="24"/>
          <w:szCs w:val="24"/>
        </w:rPr>
        <w:t>the respondent</w:t>
      </w:r>
      <w:r w:rsidR="002B05BD">
        <w:rPr>
          <w:rFonts w:ascii="Constantia" w:hAnsi="Constantia"/>
          <w:sz w:val="24"/>
          <w:szCs w:val="24"/>
        </w:rPr>
        <w:t xml:space="preserve"> was</w:t>
      </w:r>
      <w:r w:rsidR="00A03005">
        <w:rPr>
          <w:rFonts w:ascii="Constantia" w:hAnsi="Constantia"/>
          <w:sz w:val="24"/>
          <w:szCs w:val="24"/>
        </w:rPr>
        <w:t xml:space="preserve"> a</w:t>
      </w:r>
      <w:r w:rsidR="008720D6">
        <w:rPr>
          <w:rFonts w:ascii="Constantia" w:hAnsi="Constantia"/>
          <w:sz w:val="24"/>
          <w:szCs w:val="24"/>
        </w:rPr>
        <w:t xml:space="preserve"> customary</w:t>
      </w:r>
      <w:r w:rsidR="00A03005">
        <w:rPr>
          <w:rFonts w:ascii="Constantia" w:hAnsi="Constantia"/>
          <w:sz w:val="24"/>
          <w:szCs w:val="24"/>
        </w:rPr>
        <w:t xml:space="preserve"> heir </w:t>
      </w:r>
      <w:r w:rsidR="002B05BD">
        <w:rPr>
          <w:rFonts w:ascii="Constantia" w:hAnsi="Constantia"/>
          <w:sz w:val="24"/>
          <w:szCs w:val="24"/>
        </w:rPr>
        <w:t xml:space="preserve">and son </w:t>
      </w:r>
      <w:r w:rsidR="00A03005">
        <w:rPr>
          <w:rFonts w:ascii="Constantia" w:hAnsi="Constantia"/>
          <w:sz w:val="24"/>
          <w:szCs w:val="24"/>
        </w:rPr>
        <w:t xml:space="preserve">to </w:t>
      </w:r>
      <w:r w:rsidR="002B05BD">
        <w:rPr>
          <w:rFonts w:ascii="Constantia" w:hAnsi="Constantia"/>
          <w:sz w:val="24"/>
          <w:szCs w:val="24"/>
        </w:rPr>
        <w:t xml:space="preserve">an intestate, </w:t>
      </w:r>
      <w:r>
        <w:rPr>
          <w:rFonts w:ascii="Constantia" w:hAnsi="Constantia"/>
          <w:sz w:val="24"/>
          <w:szCs w:val="24"/>
        </w:rPr>
        <w:t>and</w:t>
      </w:r>
      <w:r w:rsidR="002B05BD">
        <w:rPr>
          <w:rFonts w:ascii="Constantia" w:hAnsi="Constantia"/>
          <w:sz w:val="24"/>
          <w:szCs w:val="24"/>
        </w:rPr>
        <w:t xml:space="preserve"> had developments on the land in question.  </w:t>
      </w:r>
      <w:r w:rsidR="00DC0AE2">
        <w:rPr>
          <w:rFonts w:ascii="Constantia" w:hAnsi="Constantia"/>
          <w:sz w:val="24"/>
          <w:szCs w:val="24"/>
        </w:rPr>
        <w:t>Although he did not possess letters of administration at the time, h</w:t>
      </w:r>
      <w:r w:rsidR="002B05BD">
        <w:rPr>
          <w:rFonts w:ascii="Constantia" w:hAnsi="Constantia"/>
          <w:sz w:val="24"/>
          <w:szCs w:val="24"/>
        </w:rPr>
        <w:t xml:space="preserve">e </w:t>
      </w:r>
      <w:r w:rsidR="00DC0AE2">
        <w:rPr>
          <w:rFonts w:ascii="Constantia" w:hAnsi="Constantia"/>
          <w:sz w:val="24"/>
          <w:szCs w:val="24"/>
        </w:rPr>
        <w:t xml:space="preserve">successfully </w:t>
      </w:r>
      <w:r w:rsidR="00A03005">
        <w:rPr>
          <w:rFonts w:ascii="Constantia" w:hAnsi="Constantia"/>
          <w:sz w:val="24"/>
          <w:szCs w:val="24"/>
        </w:rPr>
        <w:t xml:space="preserve">instituted legal proceedings </w:t>
      </w:r>
      <w:r w:rsidR="008720D6">
        <w:rPr>
          <w:rFonts w:ascii="Constantia" w:hAnsi="Constantia"/>
          <w:sz w:val="24"/>
          <w:szCs w:val="24"/>
        </w:rPr>
        <w:t xml:space="preserve">for the cancellation of </w:t>
      </w:r>
      <w:r w:rsidR="00A03005">
        <w:rPr>
          <w:rFonts w:ascii="Constantia" w:hAnsi="Constantia"/>
          <w:sz w:val="24"/>
          <w:szCs w:val="24"/>
        </w:rPr>
        <w:t>the appellant</w:t>
      </w:r>
      <w:r w:rsidR="008720D6">
        <w:rPr>
          <w:rFonts w:ascii="Constantia" w:hAnsi="Constantia"/>
          <w:sz w:val="24"/>
          <w:szCs w:val="24"/>
        </w:rPr>
        <w:t xml:space="preserve">’s title to the suit land on account of </w:t>
      </w:r>
      <w:r w:rsidR="00A03005">
        <w:rPr>
          <w:rFonts w:ascii="Constantia" w:hAnsi="Constantia"/>
          <w:sz w:val="24"/>
          <w:szCs w:val="24"/>
        </w:rPr>
        <w:t>fraud</w:t>
      </w:r>
      <w:r w:rsidR="008720D6">
        <w:rPr>
          <w:rFonts w:ascii="Constantia" w:hAnsi="Constantia"/>
          <w:sz w:val="24"/>
          <w:szCs w:val="24"/>
        </w:rPr>
        <w:t xml:space="preserve">.  </w:t>
      </w:r>
      <w:r w:rsidR="00DC0AE2">
        <w:rPr>
          <w:rFonts w:ascii="Constantia" w:hAnsi="Constantia"/>
          <w:sz w:val="24"/>
          <w:szCs w:val="24"/>
        </w:rPr>
        <w:t xml:space="preserve">The appellant’s first ground of appeal was whether or not the respondent had </w:t>
      </w:r>
      <w:r w:rsidR="00DC0AE2" w:rsidRPr="00DC0AE2">
        <w:rPr>
          <w:rFonts w:ascii="Constantia" w:hAnsi="Constantia"/>
          <w:i/>
          <w:sz w:val="24"/>
          <w:szCs w:val="24"/>
        </w:rPr>
        <w:t>locus standi</w:t>
      </w:r>
      <w:r w:rsidR="00DC0AE2">
        <w:rPr>
          <w:rFonts w:ascii="Constantia" w:hAnsi="Constantia"/>
          <w:sz w:val="24"/>
          <w:szCs w:val="24"/>
        </w:rPr>
        <w:t xml:space="preserve"> to institute legal proceedings against him.  It </w:t>
      </w:r>
      <w:r w:rsidR="00A03005">
        <w:rPr>
          <w:rFonts w:ascii="Constantia" w:hAnsi="Constantia"/>
          <w:sz w:val="24"/>
          <w:szCs w:val="24"/>
        </w:rPr>
        <w:t>was held</w:t>
      </w:r>
      <w:r w:rsidR="002B05BD">
        <w:rPr>
          <w:rFonts w:ascii="Constantia" w:hAnsi="Constantia"/>
          <w:sz w:val="24"/>
          <w:szCs w:val="24"/>
        </w:rPr>
        <w:t>:</w:t>
      </w:r>
    </w:p>
    <w:p w:rsidR="002B05BD" w:rsidRPr="00B925E1" w:rsidRDefault="002B05BD" w:rsidP="002B05BD">
      <w:pPr>
        <w:ind w:left="720"/>
        <w:jc w:val="both"/>
        <w:rPr>
          <w:rFonts w:ascii="Constantia" w:hAnsi="Constantia"/>
          <w:i/>
          <w:sz w:val="24"/>
          <w:szCs w:val="24"/>
        </w:rPr>
      </w:pPr>
      <w:r>
        <w:rPr>
          <w:rFonts w:ascii="Constantia" w:hAnsi="Constantia"/>
          <w:sz w:val="24"/>
          <w:szCs w:val="24"/>
        </w:rPr>
        <w:t>“</w:t>
      </w:r>
      <w:r w:rsidRPr="00FD1989">
        <w:rPr>
          <w:rFonts w:ascii="Constantia" w:hAnsi="Constantia"/>
          <w:b/>
          <w:sz w:val="24"/>
          <w:szCs w:val="24"/>
        </w:rPr>
        <w:t xml:space="preserve">The respondent’s </w:t>
      </w:r>
      <w:r w:rsidRPr="00FD1989">
        <w:rPr>
          <w:rFonts w:ascii="Constantia" w:hAnsi="Constantia"/>
          <w:b/>
          <w:i/>
          <w:sz w:val="24"/>
          <w:szCs w:val="24"/>
        </w:rPr>
        <w:t>locus standi</w:t>
      </w:r>
      <w:r w:rsidRPr="00FD1989">
        <w:rPr>
          <w:rFonts w:ascii="Constantia" w:hAnsi="Constantia"/>
          <w:b/>
          <w:sz w:val="24"/>
          <w:szCs w:val="24"/>
        </w:rPr>
        <w:t xml:space="preserve"> is founded on his being the heir and son of his late father</w:t>
      </w:r>
      <w:r w:rsidRPr="00DC0AE2">
        <w:rPr>
          <w:rFonts w:ascii="Constantia" w:hAnsi="Constantia"/>
          <w:b/>
          <w:sz w:val="24"/>
          <w:szCs w:val="24"/>
        </w:rPr>
        <w:t xml:space="preserve">.  In terms of section 28(1)(a) and 28(2) of the Succession Act as amended, the respondent could very well be entitled to 76% or more of the estate of his father.  </w:t>
      </w:r>
      <w:r w:rsidRPr="00817CD3">
        <w:rPr>
          <w:rFonts w:ascii="Constantia" w:hAnsi="Constantia"/>
          <w:b/>
          <w:sz w:val="24"/>
          <w:szCs w:val="24"/>
        </w:rPr>
        <w:t>He is thus defending his interest</w:t>
      </w:r>
      <w:r w:rsidRPr="00DC0AE2">
        <w:rPr>
          <w:rFonts w:ascii="Constantia" w:hAnsi="Constantia"/>
          <w:b/>
          <w:sz w:val="24"/>
          <w:szCs w:val="24"/>
        </w:rPr>
        <w:t xml:space="preserve">. </w:t>
      </w:r>
      <w:r w:rsidR="00DC0AE2">
        <w:rPr>
          <w:rFonts w:ascii="Constantia" w:hAnsi="Constantia"/>
          <w:b/>
          <w:sz w:val="24"/>
          <w:szCs w:val="24"/>
        </w:rPr>
        <w:t xml:space="preserve">His position as heir </w:t>
      </w:r>
      <w:r w:rsidR="00DC0AE2">
        <w:rPr>
          <w:rFonts w:ascii="Constantia" w:hAnsi="Constantia"/>
          <w:b/>
          <w:sz w:val="24"/>
          <w:szCs w:val="24"/>
        </w:rPr>
        <w:lastRenderedPageBreak/>
        <w:t xml:space="preserve">has been enhanced by the belated grant of letters of administration in that way.  Kotham’s case is irrelevant.  Therefore I think that ground one should fail.  It would still fail in my view even if no letters of administration had been obtained because </w:t>
      </w:r>
      <w:r w:rsidR="00DC0AE2" w:rsidRPr="00FD1989">
        <w:rPr>
          <w:rFonts w:ascii="Constantia" w:hAnsi="Constantia"/>
          <w:b/>
          <w:sz w:val="24"/>
          <w:szCs w:val="24"/>
        </w:rPr>
        <w:t>t</w:t>
      </w:r>
      <w:r w:rsidRPr="00FD1989">
        <w:rPr>
          <w:rFonts w:ascii="Constantia" w:hAnsi="Constantia"/>
          <w:b/>
          <w:sz w:val="24"/>
          <w:szCs w:val="24"/>
        </w:rPr>
        <w:t>he respondent’s right to the land and his developments thereon do not depend on letters of administration</w:t>
      </w:r>
      <w:r>
        <w:rPr>
          <w:rFonts w:ascii="Constantia" w:hAnsi="Constantia"/>
          <w:sz w:val="24"/>
          <w:szCs w:val="24"/>
        </w:rPr>
        <w:t>.”</w:t>
      </w:r>
      <w:r w:rsidR="00B925E1">
        <w:rPr>
          <w:rFonts w:ascii="Constantia" w:hAnsi="Constantia"/>
          <w:sz w:val="24"/>
          <w:szCs w:val="24"/>
        </w:rPr>
        <w:t xml:space="preserve"> </w:t>
      </w:r>
    </w:p>
    <w:p w:rsidR="0066393E" w:rsidRDefault="00B925E1" w:rsidP="00542275">
      <w:pPr>
        <w:jc w:val="both"/>
        <w:rPr>
          <w:rFonts w:ascii="Constantia" w:hAnsi="Constantia"/>
          <w:sz w:val="24"/>
          <w:szCs w:val="24"/>
        </w:rPr>
      </w:pPr>
      <w:r>
        <w:rPr>
          <w:rFonts w:ascii="Constantia" w:hAnsi="Constantia"/>
          <w:sz w:val="24"/>
          <w:szCs w:val="24"/>
        </w:rPr>
        <w:t xml:space="preserve">The import of the foregoing decision is that </w:t>
      </w:r>
      <w:r w:rsidR="00A03005">
        <w:rPr>
          <w:rFonts w:ascii="Constantia" w:hAnsi="Constantia"/>
          <w:sz w:val="24"/>
          <w:szCs w:val="24"/>
        </w:rPr>
        <w:t xml:space="preserve">as a son </w:t>
      </w:r>
      <w:r>
        <w:rPr>
          <w:rFonts w:ascii="Constantia" w:hAnsi="Constantia"/>
          <w:sz w:val="24"/>
          <w:szCs w:val="24"/>
        </w:rPr>
        <w:t xml:space="preserve">and customary heir </w:t>
      </w:r>
      <w:r w:rsidR="00A03005">
        <w:rPr>
          <w:rFonts w:ascii="Constantia" w:hAnsi="Constantia"/>
          <w:sz w:val="24"/>
          <w:szCs w:val="24"/>
        </w:rPr>
        <w:t xml:space="preserve">to the </w:t>
      </w:r>
      <w:r>
        <w:rPr>
          <w:rFonts w:ascii="Constantia" w:hAnsi="Constantia"/>
          <w:sz w:val="24"/>
          <w:szCs w:val="24"/>
        </w:rPr>
        <w:t xml:space="preserve">deceased, and therefore a </w:t>
      </w:r>
      <w:r w:rsidR="0053649A">
        <w:rPr>
          <w:rFonts w:ascii="Constantia" w:hAnsi="Constantia"/>
          <w:sz w:val="24"/>
          <w:szCs w:val="24"/>
        </w:rPr>
        <w:t xml:space="preserve">legally recognised </w:t>
      </w:r>
      <w:r>
        <w:rPr>
          <w:rFonts w:ascii="Constantia" w:hAnsi="Constantia"/>
          <w:sz w:val="24"/>
          <w:szCs w:val="24"/>
        </w:rPr>
        <w:t>beneficiary to his estate under section 27 of the Succession Act</w:t>
      </w:r>
      <w:r w:rsidR="005768F4">
        <w:rPr>
          <w:rFonts w:ascii="Constantia" w:hAnsi="Constantia"/>
          <w:sz w:val="24"/>
          <w:szCs w:val="24"/>
        </w:rPr>
        <w:t>,</w:t>
      </w:r>
      <w:r>
        <w:rPr>
          <w:rFonts w:ascii="Constantia" w:hAnsi="Constantia"/>
          <w:sz w:val="24"/>
          <w:szCs w:val="24"/>
        </w:rPr>
        <w:t xml:space="preserve"> the respondent </w:t>
      </w:r>
      <w:r w:rsidR="009D3C7A">
        <w:rPr>
          <w:rFonts w:ascii="Constantia" w:hAnsi="Constantia"/>
          <w:sz w:val="24"/>
          <w:szCs w:val="24"/>
        </w:rPr>
        <w:t>in that case had</w:t>
      </w:r>
      <w:r w:rsidR="009A01EF">
        <w:rPr>
          <w:rFonts w:ascii="Constantia" w:hAnsi="Constantia"/>
          <w:sz w:val="24"/>
          <w:szCs w:val="24"/>
        </w:rPr>
        <w:t xml:space="preserve"> a</w:t>
      </w:r>
      <w:r w:rsidR="00A03005">
        <w:rPr>
          <w:rFonts w:ascii="Constantia" w:hAnsi="Constantia"/>
          <w:sz w:val="24"/>
          <w:szCs w:val="24"/>
        </w:rPr>
        <w:t xml:space="preserve">n interest in </w:t>
      </w:r>
      <w:r>
        <w:rPr>
          <w:rFonts w:ascii="Constantia" w:hAnsi="Constantia"/>
          <w:sz w:val="24"/>
          <w:szCs w:val="24"/>
        </w:rPr>
        <w:t xml:space="preserve">protecting or </w:t>
      </w:r>
      <w:r w:rsidR="00A03005">
        <w:rPr>
          <w:rFonts w:ascii="Constantia" w:hAnsi="Constantia"/>
          <w:sz w:val="24"/>
          <w:szCs w:val="24"/>
        </w:rPr>
        <w:t>preserving the deceased’s estate and therefore did</w:t>
      </w:r>
      <w:r w:rsidR="009A01EF">
        <w:rPr>
          <w:rFonts w:ascii="Constantia" w:hAnsi="Constantia"/>
          <w:sz w:val="24"/>
          <w:szCs w:val="24"/>
        </w:rPr>
        <w:t xml:space="preserve"> have </w:t>
      </w:r>
      <w:r w:rsidR="009A01EF" w:rsidRPr="009A01EF">
        <w:rPr>
          <w:rFonts w:ascii="Constantia" w:hAnsi="Constantia"/>
          <w:i/>
          <w:sz w:val="24"/>
          <w:szCs w:val="24"/>
        </w:rPr>
        <w:t>locus standi</w:t>
      </w:r>
      <w:r w:rsidR="009A01EF">
        <w:rPr>
          <w:rFonts w:ascii="Constantia" w:hAnsi="Constantia"/>
          <w:sz w:val="24"/>
          <w:szCs w:val="24"/>
        </w:rPr>
        <w:t xml:space="preserve"> to sue</w:t>
      </w:r>
      <w:r>
        <w:rPr>
          <w:rFonts w:ascii="Constantia" w:hAnsi="Constantia"/>
          <w:sz w:val="24"/>
          <w:szCs w:val="24"/>
        </w:rPr>
        <w:t xml:space="preserve"> without first obtaining letters of administration</w:t>
      </w:r>
      <w:r w:rsidR="009A01EF">
        <w:rPr>
          <w:rFonts w:ascii="Constantia" w:hAnsi="Constantia"/>
          <w:sz w:val="24"/>
          <w:szCs w:val="24"/>
        </w:rPr>
        <w:t>.</w:t>
      </w:r>
      <w:r>
        <w:rPr>
          <w:rFonts w:ascii="Constantia" w:hAnsi="Constantia"/>
          <w:sz w:val="24"/>
          <w:szCs w:val="24"/>
        </w:rPr>
        <w:t xml:space="preserve">  The principle therein is that a beneficiary of an estate as prescribed under section 27 of the Succession Act does have </w:t>
      </w:r>
      <w:r w:rsidRPr="00B925E1">
        <w:rPr>
          <w:rFonts w:ascii="Constantia" w:hAnsi="Constantia"/>
          <w:i/>
          <w:sz w:val="24"/>
          <w:szCs w:val="24"/>
        </w:rPr>
        <w:t xml:space="preserve">locus standi </w:t>
      </w:r>
      <w:r>
        <w:rPr>
          <w:rFonts w:ascii="Constantia" w:hAnsi="Constantia"/>
          <w:sz w:val="24"/>
          <w:szCs w:val="24"/>
        </w:rPr>
        <w:t>to institute legal proceedings for purposes of protecting or preserving an estate.</w:t>
      </w:r>
      <w:r w:rsidR="009A01EF">
        <w:rPr>
          <w:rFonts w:ascii="Constantia" w:hAnsi="Constantia"/>
          <w:sz w:val="24"/>
          <w:szCs w:val="24"/>
        </w:rPr>
        <w:t xml:space="preserve"> </w:t>
      </w:r>
      <w:r w:rsidR="00542275">
        <w:rPr>
          <w:rFonts w:ascii="Constantia" w:hAnsi="Constantia"/>
          <w:sz w:val="24"/>
          <w:szCs w:val="24"/>
        </w:rPr>
        <w:t xml:space="preserve"> Beneficiaries of an estate of a male intestate, as is the case presently, include lineal descendants of the intestate.  </w:t>
      </w:r>
      <w:r w:rsidR="00542275" w:rsidRPr="00EA61A2">
        <w:rPr>
          <w:rFonts w:ascii="Constantia" w:hAnsi="Constantia"/>
          <w:i/>
          <w:sz w:val="24"/>
          <w:szCs w:val="24"/>
        </w:rPr>
        <w:t>See section 27(1) of the Succession Act</w:t>
      </w:r>
      <w:r w:rsidR="00542275">
        <w:rPr>
          <w:rFonts w:ascii="Constantia" w:hAnsi="Constantia"/>
          <w:sz w:val="24"/>
          <w:szCs w:val="24"/>
        </w:rPr>
        <w:t xml:space="preserve">.  Although the term ‘lineal descendant’ is not defined in the Succession Act, the definition of lineal consanguinity in section 20(1) of the same Act is, in my view, instructive on the meaning to be attached to it.  I reproduce </w:t>
      </w:r>
      <w:r w:rsidR="0053649A">
        <w:rPr>
          <w:rFonts w:ascii="Constantia" w:hAnsi="Constantia"/>
          <w:sz w:val="24"/>
          <w:szCs w:val="24"/>
        </w:rPr>
        <w:t>section 20(1)</w:t>
      </w:r>
      <w:r w:rsidR="00542275">
        <w:rPr>
          <w:rFonts w:ascii="Constantia" w:hAnsi="Constantia"/>
          <w:sz w:val="24"/>
          <w:szCs w:val="24"/>
        </w:rPr>
        <w:t xml:space="preserve"> for ease of reference: </w:t>
      </w:r>
    </w:p>
    <w:p w:rsidR="00542275" w:rsidRPr="00542275" w:rsidRDefault="0066393E" w:rsidP="0066393E">
      <w:pPr>
        <w:ind w:left="720"/>
        <w:jc w:val="both"/>
        <w:rPr>
          <w:rFonts w:ascii="Constantia" w:hAnsi="Constantia"/>
          <w:sz w:val="24"/>
          <w:szCs w:val="24"/>
        </w:rPr>
      </w:pPr>
      <w:r>
        <w:rPr>
          <w:rFonts w:ascii="Constantia" w:hAnsi="Constantia"/>
          <w:sz w:val="24"/>
          <w:szCs w:val="24"/>
        </w:rPr>
        <w:t>“</w:t>
      </w:r>
      <w:r w:rsidR="00542275" w:rsidRPr="0066393E">
        <w:rPr>
          <w:rFonts w:ascii="Constantia" w:hAnsi="Constantia" w:cs="Times New Roman"/>
          <w:b/>
          <w:sz w:val="24"/>
          <w:szCs w:val="24"/>
          <w:lang w:val="en-US"/>
        </w:rPr>
        <w:t>Lineal consanguinity is that which subsists between two persons,</w:t>
      </w:r>
      <w:r w:rsidRPr="0066393E">
        <w:rPr>
          <w:rFonts w:ascii="Constantia" w:hAnsi="Constantia"/>
          <w:b/>
          <w:sz w:val="24"/>
          <w:szCs w:val="24"/>
        </w:rPr>
        <w:t xml:space="preserve"> </w:t>
      </w:r>
      <w:r w:rsidR="00542275" w:rsidRPr="0066393E">
        <w:rPr>
          <w:rFonts w:ascii="Constantia" w:hAnsi="Constantia" w:cs="Times New Roman"/>
          <w:b/>
          <w:sz w:val="24"/>
          <w:szCs w:val="24"/>
          <w:lang w:val="en-US"/>
        </w:rPr>
        <w:t>one of whom is descended in a direct line from the other as between a man</w:t>
      </w:r>
      <w:r w:rsidRPr="0066393E">
        <w:rPr>
          <w:rFonts w:ascii="Constantia" w:hAnsi="Constantia"/>
          <w:b/>
          <w:sz w:val="24"/>
          <w:szCs w:val="24"/>
        </w:rPr>
        <w:t xml:space="preserve"> </w:t>
      </w:r>
      <w:r w:rsidR="00542275" w:rsidRPr="0066393E">
        <w:rPr>
          <w:rFonts w:ascii="Constantia" w:hAnsi="Constantia" w:cs="Times New Roman"/>
          <w:b/>
          <w:sz w:val="24"/>
          <w:szCs w:val="24"/>
          <w:lang w:val="en-US"/>
        </w:rPr>
        <w:t>and his father, grandfather, great-grandfather and so upwards in the direct</w:t>
      </w:r>
      <w:r w:rsidRPr="0066393E">
        <w:rPr>
          <w:rFonts w:ascii="Constantia" w:hAnsi="Constantia"/>
          <w:b/>
          <w:sz w:val="24"/>
          <w:szCs w:val="24"/>
        </w:rPr>
        <w:t xml:space="preserve"> </w:t>
      </w:r>
      <w:r w:rsidR="00542275" w:rsidRPr="0066393E">
        <w:rPr>
          <w:rFonts w:ascii="Constantia" w:hAnsi="Constantia" w:cs="Times New Roman"/>
          <w:b/>
          <w:sz w:val="24"/>
          <w:szCs w:val="24"/>
          <w:lang w:val="en-US"/>
        </w:rPr>
        <w:t>ascending line, or between a man, his son, grandson, great-grandson and so</w:t>
      </w:r>
      <w:r w:rsidRPr="0066393E">
        <w:rPr>
          <w:rFonts w:ascii="Constantia" w:hAnsi="Constantia"/>
          <w:b/>
          <w:sz w:val="24"/>
          <w:szCs w:val="24"/>
        </w:rPr>
        <w:t xml:space="preserve"> </w:t>
      </w:r>
      <w:r w:rsidR="00542275" w:rsidRPr="0066393E">
        <w:rPr>
          <w:rFonts w:ascii="Constantia" w:hAnsi="Constantia" w:cs="Times New Roman"/>
          <w:b/>
          <w:sz w:val="24"/>
          <w:szCs w:val="24"/>
          <w:lang w:val="en-US"/>
        </w:rPr>
        <w:t>downwards in the direct descending line</w:t>
      </w:r>
      <w:r w:rsidR="00542275" w:rsidRPr="00542275">
        <w:rPr>
          <w:rFonts w:ascii="Constantia" w:hAnsi="Constantia" w:cs="Times New Roman"/>
          <w:sz w:val="24"/>
          <w:szCs w:val="24"/>
          <w:lang w:val="en-US"/>
        </w:rPr>
        <w:t>.</w:t>
      </w:r>
      <w:r>
        <w:rPr>
          <w:rFonts w:ascii="Constantia" w:hAnsi="Constantia" w:cs="Times New Roman"/>
          <w:sz w:val="24"/>
          <w:szCs w:val="24"/>
          <w:lang w:val="en-US"/>
        </w:rPr>
        <w:t>”</w:t>
      </w:r>
    </w:p>
    <w:p w:rsidR="005F5E9D" w:rsidRDefault="0066393E" w:rsidP="00B925E1">
      <w:pPr>
        <w:jc w:val="both"/>
        <w:rPr>
          <w:rFonts w:ascii="Constantia" w:hAnsi="Constantia"/>
          <w:sz w:val="24"/>
          <w:szCs w:val="24"/>
        </w:rPr>
      </w:pPr>
      <w:r>
        <w:rPr>
          <w:rFonts w:ascii="Constantia" w:hAnsi="Constantia"/>
          <w:sz w:val="24"/>
          <w:szCs w:val="24"/>
        </w:rPr>
        <w:t xml:space="preserve">As grandchildren and daughter respectively, the plaintiffs are in the direct descending line of Yonasani Were and were, therefore, his lineal descendants.  </w:t>
      </w:r>
      <w:r w:rsidR="00542275">
        <w:rPr>
          <w:rFonts w:ascii="Constantia" w:hAnsi="Constantia"/>
          <w:sz w:val="24"/>
          <w:szCs w:val="24"/>
        </w:rPr>
        <w:t xml:space="preserve">I </w:t>
      </w:r>
      <w:r w:rsidR="00866704">
        <w:rPr>
          <w:rFonts w:ascii="Constantia" w:hAnsi="Constantia"/>
          <w:sz w:val="24"/>
          <w:szCs w:val="24"/>
        </w:rPr>
        <w:t xml:space="preserve">therefore </w:t>
      </w:r>
      <w:r w:rsidR="00542275">
        <w:rPr>
          <w:rFonts w:ascii="Constantia" w:hAnsi="Constantia"/>
          <w:sz w:val="24"/>
          <w:szCs w:val="24"/>
        </w:rPr>
        <w:t>find that</w:t>
      </w:r>
      <w:r>
        <w:rPr>
          <w:rFonts w:ascii="Constantia" w:hAnsi="Constantia"/>
          <w:sz w:val="24"/>
          <w:szCs w:val="24"/>
        </w:rPr>
        <w:t xml:space="preserve"> they were beneficiaries of his estate </w:t>
      </w:r>
      <w:r w:rsidR="00542275">
        <w:rPr>
          <w:rFonts w:ascii="Constantia" w:hAnsi="Constantia"/>
          <w:sz w:val="24"/>
          <w:szCs w:val="24"/>
        </w:rPr>
        <w:t>within the precincts of section 27(1) of the Succession Act</w:t>
      </w:r>
      <w:r>
        <w:rPr>
          <w:rFonts w:ascii="Constantia" w:hAnsi="Constantia"/>
          <w:sz w:val="24"/>
          <w:szCs w:val="24"/>
        </w:rPr>
        <w:t xml:space="preserve"> and, as such, </w:t>
      </w:r>
      <w:r w:rsidR="000776FF">
        <w:rPr>
          <w:rFonts w:ascii="Constantia" w:hAnsi="Constantia"/>
          <w:sz w:val="24"/>
          <w:szCs w:val="24"/>
        </w:rPr>
        <w:t>would</w:t>
      </w:r>
      <w:r w:rsidR="00542275">
        <w:rPr>
          <w:rFonts w:ascii="Constantia" w:hAnsi="Constantia"/>
          <w:sz w:val="24"/>
          <w:szCs w:val="24"/>
        </w:rPr>
        <w:t xml:space="preserve"> </w:t>
      </w:r>
      <w:r w:rsidR="0015751F" w:rsidRPr="0015751F">
        <w:rPr>
          <w:rFonts w:ascii="Constantia" w:hAnsi="Constantia"/>
          <w:i/>
          <w:sz w:val="24"/>
          <w:szCs w:val="24"/>
        </w:rPr>
        <w:t>prima facie</w:t>
      </w:r>
      <w:r w:rsidR="0015751F">
        <w:rPr>
          <w:rFonts w:ascii="Constantia" w:hAnsi="Constantia"/>
          <w:sz w:val="24"/>
          <w:szCs w:val="24"/>
        </w:rPr>
        <w:t xml:space="preserve"> </w:t>
      </w:r>
      <w:r w:rsidR="00542275">
        <w:rPr>
          <w:rFonts w:ascii="Constantia" w:hAnsi="Constantia"/>
          <w:sz w:val="24"/>
          <w:szCs w:val="24"/>
        </w:rPr>
        <w:t xml:space="preserve">have </w:t>
      </w:r>
      <w:r w:rsidR="000776FF">
        <w:rPr>
          <w:rFonts w:ascii="Constantia" w:hAnsi="Constantia"/>
          <w:sz w:val="24"/>
          <w:szCs w:val="24"/>
        </w:rPr>
        <w:t xml:space="preserve">had </w:t>
      </w:r>
      <w:r w:rsidR="00542275" w:rsidRPr="00542275">
        <w:rPr>
          <w:rFonts w:ascii="Constantia" w:hAnsi="Constantia"/>
          <w:i/>
          <w:sz w:val="24"/>
          <w:szCs w:val="24"/>
        </w:rPr>
        <w:t>locus standi</w:t>
      </w:r>
      <w:r w:rsidR="00542275">
        <w:rPr>
          <w:rFonts w:ascii="Constantia" w:hAnsi="Constantia"/>
          <w:sz w:val="24"/>
          <w:szCs w:val="24"/>
        </w:rPr>
        <w:t xml:space="preserve"> to institute </w:t>
      </w:r>
      <w:r w:rsidR="000776FF">
        <w:rPr>
          <w:rFonts w:ascii="Constantia" w:hAnsi="Constantia"/>
          <w:sz w:val="24"/>
          <w:szCs w:val="24"/>
        </w:rPr>
        <w:t>legal proceedings intended to pr</w:t>
      </w:r>
      <w:r w:rsidR="00A4221E">
        <w:rPr>
          <w:rFonts w:ascii="Constantia" w:hAnsi="Constantia"/>
          <w:sz w:val="24"/>
          <w:szCs w:val="24"/>
        </w:rPr>
        <w:t xml:space="preserve">otect their interest in </w:t>
      </w:r>
      <w:r w:rsidR="000776FF">
        <w:rPr>
          <w:rFonts w:ascii="Constantia" w:hAnsi="Constantia"/>
          <w:sz w:val="24"/>
          <w:szCs w:val="24"/>
        </w:rPr>
        <w:t>the intestate’s estate</w:t>
      </w:r>
      <w:r w:rsidR="00EA61A2">
        <w:rPr>
          <w:rFonts w:ascii="Constantia" w:hAnsi="Constantia"/>
          <w:sz w:val="24"/>
          <w:szCs w:val="24"/>
        </w:rPr>
        <w:t xml:space="preserve"> as expounded in the </w:t>
      </w:r>
      <w:r w:rsidR="00EA61A2" w:rsidRPr="00EA61A2">
        <w:rPr>
          <w:rFonts w:ascii="Constantia" w:hAnsi="Constantia"/>
          <w:b/>
          <w:sz w:val="24"/>
          <w:szCs w:val="24"/>
          <w:u w:val="single"/>
        </w:rPr>
        <w:t>Israel Kabwa</w:t>
      </w:r>
      <w:r w:rsidR="00EA61A2">
        <w:rPr>
          <w:rFonts w:ascii="Constantia" w:hAnsi="Constantia"/>
          <w:sz w:val="24"/>
          <w:szCs w:val="24"/>
        </w:rPr>
        <w:t xml:space="preserve"> case</w:t>
      </w:r>
      <w:r w:rsidR="00866704">
        <w:rPr>
          <w:rFonts w:ascii="Constantia" w:hAnsi="Constantia"/>
          <w:sz w:val="24"/>
          <w:szCs w:val="24"/>
        </w:rPr>
        <w:t>,</w:t>
      </w:r>
      <w:r w:rsidR="009D3C7A">
        <w:rPr>
          <w:rFonts w:ascii="Constantia" w:hAnsi="Constantia"/>
          <w:sz w:val="24"/>
          <w:szCs w:val="24"/>
        </w:rPr>
        <w:t xml:space="preserve"> but for the reasons I shall highlight below.</w:t>
      </w:r>
      <w:r w:rsidR="00B925E1">
        <w:rPr>
          <w:rFonts w:ascii="Constantia" w:hAnsi="Constantia"/>
          <w:sz w:val="24"/>
          <w:szCs w:val="24"/>
        </w:rPr>
        <w:t xml:space="preserve"> </w:t>
      </w:r>
    </w:p>
    <w:p w:rsidR="0019387F" w:rsidRDefault="009D3C7A" w:rsidP="005F5E9D">
      <w:pPr>
        <w:jc w:val="both"/>
        <w:rPr>
          <w:rFonts w:ascii="Constantia" w:hAnsi="Constantia"/>
          <w:sz w:val="24"/>
          <w:szCs w:val="24"/>
        </w:rPr>
      </w:pPr>
      <w:r>
        <w:rPr>
          <w:rFonts w:ascii="Constantia" w:hAnsi="Constantia"/>
          <w:sz w:val="24"/>
          <w:szCs w:val="24"/>
        </w:rPr>
        <w:t xml:space="preserve">The </w:t>
      </w:r>
      <w:r w:rsidR="0015751F">
        <w:rPr>
          <w:rFonts w:ascii="Constantia" w:hAnsi="Constantia"/>
          <w:sz w:val="24"/>
          <w:szCs w:val="24"/>
        </w:rPr>
        <w:t xml:space="preserve">circumstances of the matter before this court are distinguishable from those that pertained to the </w:t>
      </w:r>
      <w:r w:rsidR="0015751F" w:rsidRPr="00EA61A2">
        <w:rPr>
          <w:rFonts w:ascii="Constantia" w:hAnsi="Constantia"/>
          <w:b/>
          <w:sz w:val="24"/>
          <w:szCs w:val="24"/>
          <w:u w:val="single"/>
        </w:rPr>
        <w:t>Israel Kabwa</w:t>
      </w:r>
      <w:r w:rsidR="0015751F">
        <w:rPr>
          <w:rFonts w:ascii="Constantia" w:hAnsi="Constantia"/>
          <w:sz w:val="24"/>
          <w:szCs w:val="24"/>
        </w:rPr>
        <w:t xml:space="preserve"> case.  In that </w:t>
      </w:r>
      <w:r w:rsidR="0095177F">
        <w:rPr>
          <w:rFonts w:ascii="Constantia" w:hAnsi="Constantia"/>
          <w:sz w:val="24"/>
          <w:szCs w:val="24"/>
        </w:rPr>
        <w:t xml:space="preserve">case at the time the suit was brought </w:t>
      </w:r>
      <w:r w:rsidR="005F5E9D">
        <w:rPr>
          <w:rFonts w:ascii="Constantia" w:hAnsi="Constantia"/>
          <w:sz w:val="24"/>
          <w:szCs w:val="24"/>
        </w:rPr>
        <w:t xml:space="preserve">letters of administration had not </w:t>
      </w:r>
      <w:r w:rsidR="002033B9">
        <w:rPr>
          <w:rFonts w:ascii="Constantia" w:hAnsi="Constantia"/>
          <w:sz w:val="24"/>
          <w:szCs w:val="24"/>
        </w:rPr>
        <w:t xml:space="preserve">yet </w:t>
      </w:r>
      <w:r w:rsidR="005F5E9D">
        <w:rPr>
          <w:rFonts w:ascii="Constantia" w:hAnsi="Constantia"/>
          <w:sz w:val="24"/>
          <w:szCs w:val="24"/>
        </w:rPr>
        <w:t xml:space="preserve">been granted </w:t>
      </w:r>
      <w:r w:rsidR="006A771F">
        <w:rPr>
          <w:rFonts w:ascii="Constantia" w:hAnsi="Constantia"/>
          <w:sz w:val="24"/>
          <w:szCs w:val="24"/>
        </w:rPr>
        <w:t>although</w:t>
      </w:r>
      <w:r w:rsidR="002033B9">
        <w:rPr>
          <w:rFonts w:ascii="Constantia" w:hAnsi="Constantia"/>
          <w:sz w:val="24"/>
          <w:szCs w:val="24"/>
        </w:rPr>
        <w:t xml:space="preserve"> the process for such grant had commenced.  </w:t>
      </w:r>
      <w:r w:rsidR="00B1208A">
        <w:rPr>
          <w:rFonts w:ascii="Constantia" w:hAnsi="Constantia"/>
          <w:sz w:val="24"/>
          <w:szCs w:val="24"/>
        </w:rPr>
        <w:t xml:space="preserve">The </w:t>
      </w:r>
      <w:r w:rsidR="006A771F">
        <w:rPr>
          <w:rFonts w:ascii="Constantia" w:hAnsi="Constantia"/>
          <w:sz w:val="24"/>
          <w:szCs w:val="24"/>
        </w:rPr>
        <w:t xml:space="preserve">respondent in that case had reason to protect the estate pending </w:t>
      </w:r>
      <w:r w:rsidR="0053649A">
        <w:rPr>
          <w:rFonts w:ascii="Constantia" w:hAnsi="Constantia"/>
          <w:sz w:val="24"/>
          <w:szCs w:val="24"/>
        </w:rPr>
        <w:t xml:space="preserve">the grant of the letters of administration and subsequent </w:t>
      </w:r>
      <w:r w:rsidR="006A771F">
        <w:rPr>
          <w:rFonts w:ascii="Constantia" w:hAnsi="Constantia"/>
          <w:sz w:val="24"/>
          <w:szCs w:val="24"/>
        </w:rPr>
        <w:t xml:space="preserve">distribution </w:t>
      </w:r>
      <w:r w:rsidR="0053649A">
        <w:rPr>
          <w:rFonts w:ascii="Constantia" w:hAnsi="Constantia"/>
          <w:sz w:val="24"/>
          <w:szCs w:val="24"/>
        </w:rPr>
        <w:t>of the deceased’s estate.</w:t>
      </w:r>
      <w:r w:rsidR="006A771F">
        <w:rPr>
          <w:rFonts w:ascii="Constantia" w:hAnsi="Constantia"/>
          <w:sz w:val="24"/>
          <w:szCs w:val="24"/>
        </w:rPr>
        <w:t xml:space="preserve">  </w:t>
      </w:r>
      <w:r w:rsidR="00C37E1F">
        <w:rPr>
          <w:rFonts w:ascii="Constantia" w:hAnsi="Constantia"/>
          <w:sz w:val="24"/>
          <w:szCs w:val="24"/>
        </w:rPr>
        <w:t xml:space="preserve">It seems to me that the suit that may be brought by a beneficiary as envisaged under the </w:t>
      </w:r>
      <w:r w:rsidR="00C37E1F" w:rsidRPr="00C37E1F">
        <w:rPr>
          <w:rFonts w:ascii="Constantia" w:hAnsi="Constantia"/>
          <w:b/>
          <w:sz w:val="24"/>
          <w:szCs w:val="24"/>
          <w:u w:val="single"/>
        </w:rPr>
        <w:t>Israel Kabwa</w:t>
      </w:r>
      <w:r w:rsidR="00C37E1F">
        <w:rPr>
          <w:rFonts w:ascii="Constantia" w:hAnsi="Constantia"/>
          <w:sz w:val="24"/>
          <w:szCs w:val="24"/>
        </w:rPr>
        <w:t xml:space="preserve"> case is one that is instituted prior to the distribution of the intestate’s estate so as to avert </w:t>
      </w:r>
      <w:r w:rsidR="00087574">
        <w:rPr>
          <w:rFonts w:ascii="Constantia" w:hAnsi="Constantia"/>
          <w:sz w:val="24"/>
          <w:szCs w:val="24"/>
        </w:rPr>
        <w:t xml:space="preserve">any </w:t>
      </w:r>
      <w:r w:rsidR="00C37E1F">
        <w:rPr>
          <w:rFonts w:ascii="Constantia" w:hAnsi="Constantia"/>
          <w:sz w:val="24"/>
          <w:szCs w:val="24"/>
        </w:rPr>
        <w:t xml:space="preserve">inter-meddling with such estate prior to its distribution. </w:t>
      </w:r>
      <w:r w:rsidR="00855F3A">
        <w:rPr>
          <w:rFonts w:ascii="Constantia" w:hAnsi="Constantia"/>
          <w:sz w:val="24"/>
          <w:szCs w:val="24"/>
        </w:rPr>
        <w:t xml:space="preserve"> </w:t>
      </w:r>
      <w:r w:rsidR="005F5E9D">
        <w:rPr>
          <w:rFonts w:ascii="Constantia" w:hAnsi="Constantia"/>
          <w:sz w:val="24"/>
          <w:szCs w:val="24"/>
        </w:rPr>
        <w:t xml:space="preserve">This is </w:t>
      </w:r>
      <w:r w:rsidR="005F5E9D">
        <w:rPr>
          <w:rFonts w:ascii="Constantia" w:hAnsi="Constantia"/>
          <w:sz w:val="24"/>
          <w:szCs w:val="24"/>
        </w:rPr>
        <w:lastRenderedPageBreak/>
        <w:t xml:space="preserve">not the case in the matter before this court.  In the instant case </w:t>
      </w:r>
      <w:r w:rsidR="008A0FE7">
        <w:rPr>
          <w:rFonts w:ascii="Constantia" w:hAnsi="Constantia"/>
          <w:sz w:val="24"/>
          <w:szCs w:val="24"/>
        </w:rPr>
        <w:t>PW3</w:t>
      </w:r>
      <w:r w:rsidR="00531DA3">
        <w:rPr>
          <w:rFonts w:ascii="Constantia" w:hAnsi="Constantia"/>
          <w:sz w:val="24"/>
          <w:szCs w:val="24"/>
        </w:rPr>
        <w:t>, the deceased’s son,</w:t>
      </w:r>
      <w:r w:rsidR="008A0FE7">
        <w:rPr>
          <w:rFonts w:ascii="Constantia" w:hAnsi="Constantia"/>
          <w:sz w:val="24"/>
          <w:szCs w:val="24"/>
        </w:rPr>
        <w:t xml:space="preserve"> testified that a</w:t>
      </w:r>
      <w:r w:rsidR="006A771F">
        <w:rPr>
          <w:rFonts w:ascii="Constantia" w:hAnsi="Constantia"/>
          <w:sz w:val="24"/>
          <w:szCs w:val="24"/>
        </w:rPr>
        <w:t xml:space="preserve"> 26 acre piece of land comprised in plots 28 and 33</w:t>
      </w:r>
      <w:r w:rsidR="008A0FE7">
        <w:rPr>
          <w:rFonts w:ascii="Constantia" w:hAnsi="Constantia"/>
          <w:sz w:val="24"/>
          <w:szCs w:val="24"/>
        </w:rPr>
        <w:t xml:space="preserve"> </w:t>
      </w:r>
      <w:r w:rsidR="00087574">
        <w:rPr>
          <w:rFonts w:ascii="Constantia" w:hAnsi="Constantia"/>
          <w:sz w:val="24"/>
          <w:szCs w:val="24"/>
        </w:rPr>
        <w:t xml:space="preserve">and </w:t>
      </w:r>
      <w:r w:rsidR="008A0FE7">
        <w:rPr>
          <w:rFonts w:ascii="Constantia" w:hAnsi="Constantia"/>
          <w:sz w:val="24"/>
          <w:szCs w:val="24"/>
        </w:rPr>
        <w:t xml:space="preserve">owned by </w:t>
      </w:r>
      <w:r w:rsidR="00C17405">
        <w:rPr>
          <w:rFonts w:ascii="Constantia" w:hAnsi="Constantia"/>
          <w:sz w:val="24"/>
          <w:szCs w:val="24"/>
        </w:rPr>
        <w:t xml:space="preserve">the </w:t>
      </w:r>
      <w:r w:rsidR="008A0FE7">
        <w:rPr>
          <w:rFonts w:ascii="Constantia" w:hAnsi="Constantia"/>
          <w:sz w:val="24"/>
          <w:szCs w:val="24"/>
        </w:rPr>
        <w:t xml:space="preserve">intestate </w:t>
      </w:r>
      <w:r w:rsidR="00C17405">
        <w:rPr>
          <w:rFonts w:ascii="Constantia" w:hAnsi="Constantia"/>
          <w:sz w:val="24"/>
          <w:szCs w:val="24"/>
        </w:rPr>
        <w:t xml:space="preserve">had been </w:t>
      </w:r>
      <w:r w:rsidR="006A771F">
        <w:rPr>
          <w:rFonts w:ascii="Constantia" w:hAnsi="Constantia"/>
          <w:sz w:val="24"/>
          <w:szCs w:val="24"/>
        </w:rPr>
        <w:t xml:space="preserve">distributed amongst the </w:t>
      </w:r>
      <w:r w:rsidR="008A0FE7">
        <w:rPr>
          <w:rFonts w:ascii="Constantia" w:hAnsi="Constantia"/>
          <w:sz w:val="24"/>
          <w:szCs w:val="24"/>
        </w:rPr>
        <w:t xml:space="preserve">deceased’s children by the clan heads </w:t>
      </w:r>
      <w:r w:rsidR="006A771F">
        <w:rPr>
          <w:rFonts w:ascii="Constantia" w:hAnsi="Constantia"/>
          <w:sz w:val="24"/>
          <w:szCs w:val="24"/>
        </w:rPr>
        <w:t>in 1962</w:t>
      </w:r>
      <w:r w:rsidR="00087574">
        <w:rPr>
          <w:rFonts w:ascii="Constantia" w:hAnsi="Constantia"/>
          <w:sz w:val="24"/>
          <w:szCs w:val="24"/>
        </w:rPr>
        <w:t>,</w:t>
      </w:r>
      <w:r w:rsidR="008A0FE7">
        <w:rPr>
          <w:rFonts w:ascii="Constantia" w:hAnsi="Constantia"/>
          <w:sz w:val="24"/>
          <w:szCs w:val="24"/>
        </w:rPr>
        <w:t xml:space="preserve"> and the said distribution was subsequently confirmed by the Administrator General</w:t>
      </w:r>
      <w:r w:rsidR="006A771F">
        <w:rPr>
          <w:rFonts w:ascii="Constantia" w:hAnsi="Constantia"/>
          <w:sz w:val="24"/>
          <w:szCs w:val="24"/>
        </w:rPr>
        <w:t>.  His evidence was materially corroborated by PW4, the thir</w:t>
      </w:r>
      <w:r w:rsidR="00DE216C">
        <w:rPr>
          <w:rFonts w:ascii="Constantia" w:hAnsi="Constantia"/>
          <w:sz w:val="24"/>
          <w:szCs w:val="24"/>
        </w:rPr>
        <w:t>d plaintiff and daughter to th</w:t>
      </w:r>
      <w:r w:rsidR="006A771F">
        <w:rPr>
          <w:rFonts w:ascii="Constantia" w:hAnsi="Constantia"/>
          <w:sz w:val="24"/>
          <w:szCs w:val="24"/>
        </w:rPr>
        <w:t xml:space="preserve">e deceased.  </w:t>
      </w:r>
      <w:r w:rsidR="008A0FE7">
        <w:rPr>
          <w:rFonts w:ascii="Constantia" w:hAnsi="Constantia"/>
          <w:sz w:val="24"/>
          <w:szCs w:val="24"/>
        </w:rPr>
        <w:t>Th</w:t>
      </w:r>
      <w:r w:rsidR="00531DA3">
        <w:rPr>
          <w:rFonts w:ascii="Constantia" w:hAnsi="Constantia"/>
          <w:sz w:val="24"/>
          <w:szCs w:val="24"/>
        </w:rPr>
        <w:t xml:space="preserve">e land distribution was also corroborated by </w:t>
      </w:r>
      <w:r w:rsidR="008A0FE7">
        <w:rPr>
          <w:rFonts w:ascii="Constantia" w:hAnsi="Constantia"/>
          <w:sz w:val="24"/>
          <w:szCs w:val="24"/>
        </w:rPr>
        <w:t>PW5, an official from the Administrator General’s office</w:t>
      </w:r>
      <w:r w:rsidR="00531DA3">
        <w:rPr>
          <w:rFonts w:ascii="Constantia" w:hAnsi="Constantia"/>
          <w:sz w:val="24"/>
          <w:szCs w:val="24"/>
        </w:rPr>
        <w:t>.  Although the acreage of the land distributed to each recipient contradicts the accounts of PW3 and PW4, PW5’s evidence confirm</w:t>
      </w:r>
      <w:r w:rsidR="00087574">
        <w:rPr>
          <w:rFonts w:ascii="Constantia" w:hAnsi="Constantia"/>
          <w:sz w:val="24"/>
          <w:szCs w:val="24"/>
        </w:rPr>
        <w:t>ed</w:t>
      </w:r>
      <w:r w:rsidR="00531DA3">
        <w:rPr>
          <w:rFonts w:ascii="Constantia" w:hAnsi="Constantia"/>
          <w:sz w:val="24"/>
          <w:szCs w:val="24"/>
        </w:rPr>
        <w:t xml:space="preserve"> that the Administrator General’s office played a role in the administration of the deceased’s estate as testified by PW3 and had </w:t>
      </w:r>
      <w:r w:rsidR="008A0FE7">
        <w:rPr>
          <w:rFonts w:ascii="Constantia" w:hAnsi="Constantia"/>
          <w:sz w:val="24"/>
          <w:szCs w:val="24"/>
        </w:rPr>
        <w:t xml:space="preserve">completed </w:t>
      </w:r>
      <w:r w:rsidR="00531DA3">
        <w:rPr>
          <w:rFonts w:ascii="Constantia" w:hAnsi="Constantia"/>
          <w:sz w:val="24"/>
          <w:szCs w:val="24"/>
        </w:rPr>
        <w:t>distribution of the deceased’s land by 23</w:t>
      </w:r>
      <w:r w:rsidR="00531DA3" w:rsidRPr="00531DA3">
        <w:rPr>
          <w:rFonts w:ascii="Constantia" w:hAnsi="Constantia"/>
          <w:sz w:val="24"/>
          <w:szCs w:val="24"/>
          <w:vertAlign w:val="superscript"/>
        </w:rPr>
        <w:t>rd</w:t>
      </w:r>
      <w:r w:rsidR="00531DA3">
        <w:rPr>
          <w:rFonts w:ascii="Constantia" w:hAnsi="Constantia"/>
          <w:sz w:val="24"/>
          <w:szCs w:val="24"/>
        </w:rPr>
        <w:t xml:space="preserve"> October 1990.  </w:t>
      </w:r>
      <w:r w:rsidR="004D0CCC">
        <w:rPr>
          <w:rFonts w:ascii="Constantia" w:hAnsi="Constantia"/>
          <w:sz w:val="24"/>
          <w:szCs w:val="24"/>
        </w:rPr>
        <w:t xml:space="preserve">PW1 did testify that only plot 33 was distributed but given the well corroborated evidence to the contrary, I would disregard his evidence in that regard.  </w:t>
      </w:r>
      <w:r w:rsidR="00907825">
        <w:rPr>
          <w:rFonts w:ascii="Constantia" w:hAnsi="Constantia"/>
          <w:sz w:val="24"/>
          <w:szCs w:val="24"/>
        </w:rPr>
        <w:t>The</w:t>
      </w:r>
      <w:r w:rsidR="004D0CCC">
        <w:rPr>
          <w:rFonts w:ascii="Constantia" w:hAnsi="Constantia"/>
          <w:sz w:val="24"/>
          <w:szCs w:val="24"/>
        </w:rPr>
        <w:t>refore the</w:t>
      </w:r>
      <w:r w:rsidR="00907825">
        <w:rPr>
          <w:rFonts w:ascii="Constantia" w:hAnsi="Constantia"/>
          <w:sz w:val="24"/>
          <w:szCs w:val="24"/>
        </w:rPr>
        <w:t xml:space="preserve"> land that </w:t>
      </w:r>
      <w:r w:rsidR="00C46525">
        <w:rPr>
          <w:rFonts w:ascii="Constantia" w:hAnsi="Constantia"/>
          <w:sz w:val="24"/>
          <w:szCs w:val="24"/>
        </w:rPr>
        <w:t>was</w:t>
      </w:r>
      <w:r w:rsidR="00087574">
        <w:rPr>
          <w:rFonts w:ascii="Constantia" w:hAnsi="Constantia"/>
          <w:sz w:val="24"/>
          <w:szCs w:val="24"/>
        </w:rPr>
        <w:t xml:space="preserve"> distributed included</w:t>
      </w:r>
      <w:r w:rsidR="00907825">
        <w:rPr>
          <w:rFonts w:ascii="Constantia" w:hAnsi="Constantia"/>
          <w:sz w:val="24"/>
          <w:szCs w:val="24"/>
        </w:rPr>
        <w:t xml:space="preserve"> the present suit land</w:t>
      </w:r>
      <w:r w:rsidR="00AE78A1">
        <w:rPr>
          <w:rFonts w:ascii="Constantia" w:hAnsi="Constantia"/>
          <w:sz w:val="24"/>
          <w:szCs w:val="24"/>
        </w:rPr>
        <w:t xml:space="preserve">, which is comprised of </w:t>
      </w:r>
      <w:r w:rsidR="00907825">
        <w:rPr>
          <w:rFonts w:ascii="Constantia" w:hAnsi="Constantia"/>
          <w:sz w:val="24"/>
          <w:szCs w:val="24"/>
        </w:rPr>
        <w:t xml:space="preserve">20 acres of land </w:t>
      </w:r>
      <w:r w:rsidR="00087574">
        <w:rPr>
          <w:rFonts w:ascii="Constantia" w:hAnsi="Constantia"/>
          <w:sz w:val="24"/>
          <w:szCs w:val="24"/>
        </w:rPr>
        <w:t xml:space="preserve">described as Kyadondo Block 236 plot 63 </w:t>
      </w:r>
      <w:r w:rsidR="00907825">
        <w:rPr>
          <w:rFonts w:ascii="Constantia" w:hAnsi="Constantia"/>
          <w:sz w:val="24"/>
          <w:szCs w:val="24"/>
        </w:rPr>
        <w:t xml:space="preserve">that were curved out of </w:t>
      </w:r>
      <w:r w:rsidR="00087574">
        <w:rPr>
          <w:rFonts w:ascii="Constantia" w:hAnsi="Constantia"/>
          <w:sz w:val="24"/>
          <w:szCs w:val="24"/>
        </w:rPr>
        <w:t xml:space="preserve">Kyadondo Block 236 </w:t>
      </w:r>
      <w:r w:rsidR="00907825">
        <w:rPr>
          <w:rFonts w:ascii="Constantia" w:hAnsi="Constantia"/>
          <w:sz w:val="24"/>
          <w:szCs w:val="24"/>
        </w:rPr>
        <w:t xml:space="preserve">plot 28.  </w:t>
      </w:r>
      <w:r w:rsidR="00DE216C">
        <w:rPr>
          <w:rFonts w:ascii="Constantia" w:hAnsi="Constantia"/>
          <w:sz w:val="24"/>
          <w:szCs w:val="24"/>
        </w:rPr>
        <w:t xml:space="preserve">This would mean that </w:t>
      </w:r>
      <w:r w:rsidR="00DB4537">
        <w:rPr>
          <w:rFonts w:ascii="Constantia" w:hAnsi="Constantia"/>
          <w:sz w:val="24"/>
          <w:szCs w:val="24"/>
        </w:rPr>
        <w:t>ascertainable</w:t>
      </w:r>
      <w:r w:rsidR="00531DA3">
        <w:rPr>
          <w:rFonts w:ascii="Constantia" w:hAnsi="Constantia"/>
          <w:sz w:val="24"/>
          <w:szCs w:val="24"/>
        </w:rPr>
        <w:t xml:space="preserve"> portions of </w:t>
      </w:r>
      <w:r w:rsidR="00DE216C">
        <w:rPr>
          <w:rFonts w:ascii="Constantia" w:hAnsi="Constantia"/>
          <w:sz w:val="24"/>
          <w:szCs w:val="24"/>
        </w:rPr>
        <w:t xml:space="preserve">the </w:t>
      </w:r>
      <w:r w:rsidR="00531DA3">
        <w:rPr>
          <w:rFonts w:ascii="Constantia" w:hAnsi="Constantia"/>
          <w:sz w:val="24"/>
          <w:szCs w:val="24"/>
        </w:rPr>
        <w:t xml:space="preserve">suit </w:t>
      </w:r>
      <w:r w:rsidR="00DE216C">
        <w:rPr>
          <w:rFonts w:ascii="Constantia" w:hAnsi="Constantia"/>
          <w:sz w:val="24"/>
          <w:szCs w:val="24"/>
        </w:rPr>
        <w:t xml:space="preserve">land </w:t>
      </w:r>
      <w:r w:rsidR="00C17405">
        <w:rPr>
          <w:rFonts w:ascii="Constantia" w:hAnsi="Constantia"/>
          <w:sz w:val="24"/>
          <w:szCs w:val="24"/>
        </w:rPr>
        <w:t xml:space="preserve">had been </w:t>
      </w:r>
      <w:r w:rsidR="00DB4537">
        <w:rPr>
          <w:rFonts w:ascii="Constantia" w:hAnsi="Constantia"/>
          <w:sz w:val="24"/>
          <w:szCs w:val="24"/>
        </w:rPr>
        <w:t xml:space="preserve">distributed </w:t>
      </w:r>
      <w:r w:rsidR="00DE216C">
        <w:rPr>
          <w:rFonts w:ascii="Constantia" w:hAnsi="Constantia"/>
          <w:sz w:val="24"/>
          <w:szCs w:val="24"/>
        </w:rPr>
        <w:t xml:space="preserve">to specific </w:t>
      </w:r>
      <w:r w:rsidR="0095177F">
        <w:rPr>
          <w:rFonts w:ascii="Constantia" w:hAnsi="Constantia"/>
          <w:sz w:val="24"/>
          <w:szCs w:val="24"/>
        </w:rPr>
        <w:t xml:space="preserve">and known </w:t>
      </w:r>
      <w:r w:rsidR="00DE216C">
        <w:rPr>
          <w:rFonts w:ascii="Constantia" w:hAnsi="Constantia"/>
          <w:sz w:val="24"/>
          <w:szCs w:val="24"/>
        </w:rPr>
        <w:t xml:space="preserve">beneficiaries well before the present suit was filed in 2007. </w:t>
      </w:r>
      <w:r w:rsidR="00C17405">
        <w:rPr>
          <w:rFonts w:ascii="Constantia" w:hAnsi="Constantia"/>
          <w:sz w:val="24"/>
          <w:szCs w:val="24"/>
        </w:rPr>
        <w:t xml:space="preserve"> </w:t>
      </w:r>
    </w:p>
    <w:p w:rsidR="0019387F" w:rsidRPr="00774DD1" w:rsidRDefault="009D30CB" w:rsidP="0019387F">
      <w:pPr>
        <w:jc w:val="both"/>
        <w:rPr>
          <w:rFonts w:ascii="Constantia" w:hAnsi="Constantia"/>
          <w:bCs/>
          <w:sz w:val="24"/>
          <w:szCs w:val="24"/>
        </w:rPr>
      </w:pPr>
      <w:r>
        <w:rPr>
          <w:rFonts w:ascii="Constantia" w:hAnsi="Constantia"/>
          <w:bCs/>
          <w:sz w:val="24"/>
          <w:szCs w:val="24"/>
        </w:rPr>
        <w:t xml:space="preserve">The cause of action in the instant suit is rooted in fraud.  </w:t>
      </w:r>
      <w:r w:rsidR="00866704">
        <w:rPr>
          <w:rFonts w:ascii="Constantia" w:hAnsi="Constantia"/>
          <w:bCs/>
          <w:sz w:val="24"/>
          <w:szCs w:val="24"/>
        </w:rPr>
        <w:t>This was pleaded</w:t>
      </w:r>
      <w:r w:rsidR="008A3905">
        <w:rPr>
          <w:rFonts w:ascii="Constantia" w:hAnsi="Constantia"/>
          <w:bCs/>
          <w:sz w:val="24"/>
          <w:szCs w:val="24"/>
        </w:rPr>
        <w:t xml:space="preserve"> and particulars thereof duly furnished in paragraph 15 of the plaint.  </w:t>
      </w:r>
      <w:r>
        <w:rPr>
          <w:rFonts w:ascii="Constantia" w:hAnsi="Constantia"/>
          <w:bCs/>
          <w:sz w:val="24"/>
          <w:szCs w:val="24"/>
        </w:rPr>
        <w:t xml:space="preserve">The plaintiffs </w:t>
      </w:r>
      <w:r w:rsidR="008A3905" w:rsidRPr="008A3905">
        <w:rPr>
          <w:rFonts w:ascii="Constantia" w:hAnsi="Constantia"/>
          <w:bCs/>
          <w:i/>
          <w:sz w:val="24"/>
          <w:szCs w:val="24"/>
        </w:rPr>
        <w:t>inter alia</w:t>
      </w:r>
      <w:r w:rsidR="008A3905">
        <w:rPr>
          <w:rFonts w:ascii="Constantia" w:hAnsi="Constantia"/>
          <w:bCs/>
          <w:sz w:val="24"/>
          <w:szCs w:val="24"/>
        </w:rPr>
        <w:t xml:space="preserve"> </w:t>
      </w:r>
      <w:r>
        <w:rPr>
          <w:rFonts w:ascii="Constantia" w:hAnsi="Constantia"/>
          <w:bCs/>
          <w:sz w:val="24"/>
          <w:szCs w:val="24"/>
        </w:rPr>
        <w:t xml:space="preserve">seek the cancellation of the </w:t>
      </w:r>
      <w:r w:rsidR="0043044F">
        <w:rPr>
          <w:rFonts w:ascii="Constantia" w:hAnsi="Constantia"/>
          <w:bCs/>
          <w:sz w:val="24"/>
          <w:szCs w:val="24"/>
        </w:rPr>
        <w:t xml:space="preserve">first, second and third </w:t>
      </w:r>
      <w:r>
        <w:rPr>
          <w:rFonts w:ascii="Constantia" w:hAnsi="Constantia"/>
          <w:bCs/>
          <w:sz w:val="24"/>
          <w:szCs w:val="24"/>
        </w:rPr>
        <w:t xml:space="preserve">defendant’s title </w:t>
      </w:r>
      <w:r w:rsidR="0094137A">
        <w:rPr>
          <w:rFonts w:ascii="Constantia" w:hAnsi="Constantia"/>
          <w:bCs/>
          <w:sz w:val="24"/>
          <w:szCs w:val="24"/>
        </w:rPr>
        <w:t>to</w:t>
      </w:r>
      <w:r>
        <w:rPr>
          <w:rFonts w:ascii="Constantia" w:hAnsi="Constantia"/>
          <w:bCs/>
          <w:sz w:val="24"/>
          <w:szCs w:val="24"/>
        </w:rPr>
        <w:t xml:space="preserve"> the land comprised in Block 236 plot 63 on account of alleged fraud in the registration thereof.  </w:t>
      </w:r>
      <w:r w:rsidR="0019387F">
        <w:rPr>
          <w:rFonts w:ascii="Constantia" w:hAnsi="Constantia"/>
          <w:bCs/>
          <w:sz w:val="24"/>
          <w:szCs w:val="24"/>
        </w:rPr>
        <w:t>S</w:t>
      </w:r>
      <w:r w:rsidR="0019387F" w:rsidRPr="00774DD1">
        <w:rPr>
          <w:rFonts w:ascii="Constantia" w:hAnsi="Constantia"/>
          <w:bCs/>
          <w:sz w:val="24"/>
          <w:szCs w:val="24"/>
        </w:rPr>
        <w:t xml:space="preserve">ection 176(c) of the </w:t>
      </w:r>
      <w:r w:rsidR="0019387F">
        <w:rPr>
          <w:rFonts w:ascii="Constantia" w:hAnsi="Constantia"/>
          <w:bCs/>
          <w:sz w:val="24"/>
          <w:szCs w:val="24"/>
        </w:rPr>
        <w:t xml:space="preserve">Registration of Titles </w:t>
      </w:r>
      <w:r w:rsidR="0019387F" w:rsidRPr="00774DD1">
        <w:rPr>
          <w:rFonts w:ascii="Constantia" w:hAnsi="Constantia"/>
          <w:bCs/>
          <w:sz w:val="24"/>
          <w:szCs w:val="24"/>
        </w:rPr>
        <w:t>Act (RTA) mandate</w:t>
      </w:r>
      <w:r w:rsidR="00450A16">
        <w:rPr>
          <w:rFonts w:ascii="Constantia" w:hAnsi="Constantia"/>
          <w:bCs/>
          <w:sz w:val="24"/>
          <w:szCs w:val="24"/>
        </w:rPr>
        <w:t>s</w:t>
      </w:r>
      <w:r w:rsidR="0019387F" w:rsidRPr="00774DD1">
        <w:rPr>
          <w:rFonts w:ascii="Constantia" w:hAnsi="Constantia"/>
          <w:bCs/>
          <w:sz w:val="24"/>
          <w:szCs w:val="24"/>
        </w:rPr>
        <w:t xml:space="preserve"> an action to impeach the indefeasibility of a registered proprietor’s interest in land on account of the deprivation of another person’s interest in the same land by fraud.  For ease of reference I reproduce the said legal provision below:</w:t>
      </w:r>
    </w:p>
    <w:p w:rsidR="0019387F" w:rsidRPr="00774DD1" w:rsidRDefault="0019387F" w:rsidP="0019387F">
      <w:pPr>
        <w:ind w:left="720"/>
        <w:jc w:val="both"/>
        <w:rPr>
          <w:rFonts w:ascii="Constantia" w:hAnsi="Constantia"/>
          <w:b/>
          <w:bCs/>
          <w:sz w:val="24"/>
          <w:szCs w:val="24"/>
        </w:rPr>
      </w:pPr>
      <w:r w:rsidRPr="00774DD1">
        <w:rPr>
          <w:rFonts w:ascii="Constantia" w:hAnsi="Constantia"/>
          <w:bCs/>
          <w:sz w:val="24"/>
          <w:szCs w:val="24"/>
        </w:rPr>
        <w:t>“</w:t>
      </w:r>
      <w:r w:rsidRPr="00774DD1">
        <w:rPr>
          <w:rFonts w:ascii="Constantia" w:hAnsi="Constantia" w:cs="Times New Roman"/>
          <w:b/>
          <w:sz w:val="24"/>
          <w:szCs w:val="24"/>
          <w:lang w:val="en-US"/>
        </w:rPr>
        <w:t>No action of ejectment or other action for the recovery of any land shall lie or be sustained against the person registered as proprietor under this Act, except in any of the following cases—</w:t>
      </w:r>
      <w:r w:rsidRPr="00774DD1">
        <w:rPr>
          <w:rFonts w:ascii="Constantia" w:hAnsi="Constantia"/>
          <w:b/>
          <w:bCs/>
          <w:sz w:val="24"/>
          <w:szCs w:val="24"/>
        </w:rPr>
        <w:t xml:space="preserve">  </w:t>
      </w:r>
    </w:p>
    <w:p w:rsidR="0019387F" w:rsidRPr="00C46525" w:rsidRDefault="0019387F" w:rsidP="0019387F">
      <w:pPr>
        <w:ind w:left="1440" w:hanging="720"/>
        <w:jc w:val="both"/>
        <w:rPr>
          <w:rFonts w:ascii="Constantia" w:hAnsi="Constantia"/>
          <w:bCs/>
          <w:i/>
          <w:sz w:val="24"/>
          <w:szCs w:val="24"/>
        </w:rPr>
      </w:pPr>
      <w:r w:rsidRPr="00774DD1">
        <w:rPr>
          <w:rFonts w:ascii="Constantia" w:hAnsi="Constantia"/>
          <w:b/>
          <w:bCs/>
          <w:sz w:val="24"/>
          <w:szCs w:val="24"/>
        </w:rPr>
        <w:t>(c)</w:t>
      </w:r>
      <w:r w:rsidRPr="00774DD1">
        <w:rPr>
          <w:rFonts w:ascii="Constantia" w:hAnsi="Constantia"/>
          <w:b/>
          <w:bCs/>
          <w:sz w:val="24"/>
          <w:szCs w:val="24"/>
        </w:rPr>
        <w:tab/>
      </w:r>
      <w:r w:rsidRPr="00774DD1">
        <w:rPr>
          <w:rFonts w:ascii="Constantia" w:hAnsi="Constantia" w:cs="Times New Roman"/>
          <w:b/>
          <w:sz w:val="24"/>
          <w:szCs w:val="24"/>
          <w:lang w:val="en-US"/>
        </w:rPr>
        <w:t xml:space="preserve">the case of </w:t>
      </w:r>
      <w:r w:rsidRPr="00C46525">
        <w:rPr>
          <w:rFonts w:ascii="Constantia" w:hAnsi="Constantia" w:cs="Times New Roman"/>
          <w:b/>
          <w:sz w:val="24"/>
          <w:szCs w:val="24"/>
          <w:u w:val="single"/>
          <w:lang w:val="en-US"/>
        </w:rPr>
        <w:t>a person deprived of any land by fraud</w:t>
      </w:r>
      <w:r w:rsidRPr="00774DD1">
        <w:rPr>
          <w:rFonts w:ascii="Constantia" w:hAnsi="Constantia" w:cs="Times New Roman"/>
          <w:b/>
          <w:sz w:val="24"/>
          <w:szCs w:val="24"/>
          <w:lang w:val="en-US"/>
        </w:rPr>
        <w:t xml:space="preserve"> as against the person registered as proprietor of that land through fraud or as against a person deriving otherwise than as a transferee bona fide for value from or through a person so registered through fraud.”</w:t>
      </w:r>
      <w:r w:rsidR="00C46525">
        <w:rPr>
          <w:rFonts w:ascii="Constantia" w:hAnsi="Constantia" w:cs="Times New Roman"/>
          <w:b/>
          <w:sz w:val="24"/>
          <w:szCs w:val="24"/>
          <w:lang w:val="en-US"/>
        </w:rPr>
        <w:t xml:space="preserve"> </w:t>
      </w:r>
      <w:r w:rsidR="00C46525" w:rsidRPr="00C46525">
        <w:rPr>
          <w:rFonts w:ascii="Constantia" w:hAnsi="Constantia" w:cs="Times New Roman"/>
          <w:i/>
          <w:sz w:val="24"/>
          <w:szCs w:val="24"/>
          <w:lang w:val="en-US"/>
        </w:rPr>
        <w:t>(my emphasis)</w:t>
      </w:r>
    </w:p>
    <w:p w:rsidR="00542275" w:rsidRDefault="00450A16" w:rsidP="005F5E9D">
      <w:pPr>
        <w:jc w:val="both"/>
        <w:rPr>
          <w:rFonts w:ascii="Constantia" w:hAnsi="Constantia"/>
          <w:sz w:val="24"/>
          <w:szCs w:val="24"/>
        </w:rPr>
      </w:pPr>
      <w:r>
        <w:rPr>
          <w:rFonts w:ascii="Constantia" w:hAnsi="Constantia"/>
          <w:sz w:val="24"/>
          <w:szCs w:val="24"/>
        </w:rPr>
        <w:t xml:space="preserve">In my view, section 176(c) of the RTA is couched in terms that </w:t>
      </w:r>
      <w:r w:rsidR="00B664A9">
        <w:rPr>
          <w:rFonts w:ascii="Constantia" w:hAnsi="Constantia"/>
          <w:sz w:val="24"/>
          <w:szCs w:val="24"/>
        </w:rPr>
        <w:t xml:space="preserve">restrict a right of </w:t>
      </w:r>
      <w:r w:rsidR="009D30CB">
        <w:rPr>
          <w:rFonts w:ascii="Constantia" w:hAnsi="Constantia"/>
          <w:sz w:val="24"/>
          <w:szCs w:val="24"/>
        </w:rPr>
        <w:t>claim</w:t>
      </w:r>
      <w:r w:rsidR="00996BBF">
        <w:rPr>
          <w:rFonts w:ascii="Constantia" w:hAnsi="Constantia"/>
          <w:sz w:val="24"/>
          <w:szCs w:val="24"/>
        </w:rPr>
        <w:t xml:space="preserve"> thereunder</w:t>
      </w:r>
      <w:r w:rsidR="00B664A9">
        <w:rPr>
          <w:rFonts w:ascii="Constantia" w:hAnsi="Constantia"/>
          <w:sz w:val="24"/>
          <w:szCs w:val="24"/>
        </w:rPr>
        <w:t xml:space="preserve"> to persons that would otherwise be deprived of land on account of fraud.  A person that would be deprived of land by fraud would have had an interest in the land in </w:t>
      </w:r>
      <w:r w:rsidR="00B664A9">
        <w:rPr>
          <w:rFonts w:ascii="Constantia" w:hAnsi="Constantia"/>
          <w:sz w:val="24"/>
          <w:szCs w:val="24"/>
        </w:rPr>
        <w:lastRenderedPageBreak/>
        <w:t>the first place, whether legal or equitable</w:t>
      </w:r>
      <w:r w:rsidR="00996BBF">
        <w:rPr>
          <w:rFonts w:ascii="Constantia" w:hAnsi="Constantia"/>
          <w:sz w:val="24"/>
          <w:szCs w:val="24"/>
        </w:rPr>
        <w:t>, that s/he stands to lose</w:t>
      </w:r>
      <w:r w:rsidR="00B664A9">
        <w:rPr>
          <w:rFonts w:ascii="Constantia" w:hAnsi="Constantia"/>
          <w:sz w:val="24"/>
          <w:szCs w:val="24"/>
        </w:rPr>
        <w:t xml:space="preserve">. </w:t>
      </w:r>
      <w:r w:rsidR="002A5F96">
        <w:rPr>
          <w:rFonts w:ascii="Constantia" w:hAnsi="Constantia"/>
          <w:sz w:val="24"/>
          <w:szCs w:val="24"/>
        </w:rPr>
        <w:t xml:space="preserve"> In the </w:t>
      </w:r>
      <w:r w:rsidR="00316826">
        <w:rPr>
          <w:rFonts w:ascii="Constantia" w:hAnsi="Constantia"/>
          <w:sz w:val="24"/>
          <w:szCs w:val="24"/>
        </w:rPr>
        <w:t xml:space="preserve">instant case, </w:t>
      </w:r>
      <w:r w:rsidR="002A5F96">
        <w:rPr>
          <w:rFonts w:ascii="Constantia" w:hAnsi="Constantia"/>
          <w:sz w:val="24"/>
          <w:szCs w:val="24"/>
        </w:rPr>
        <w:t xml:space="preserve">the 26 acre piece of land from which the suit land was demarcated having been distributed </w:t>
      </w:r>
      <w:r w:rsidR="0094137A">
        <w:rPr>
          <w:rFonts w:ascii="Constantia" w:hAnsi="Constantia"/>
          <w:sz w:val="24"/>
          <w:szCs w:val="24"/>
        </w:rPr>
        <w:t>amongst</w:t>
      </w:r>
      <w:r w:rsidR="002A5F96">
        <w:rPr>
          <w:rFonts w:ascii="Constantia" w:hAnsi="Constantia"/>
          <w:sz w:val="24"/>
          <w:szCs w:val="24"/>
        </w:rPr>
        <w:t xml:space="preserve"> the </w:t>
      </w:r>
      <w:r w:rsidR="0094137A">
        <w:rPr>
          <w:rFonts w:ascii="Constantia" w:hAnsi="Constantia"/>
          <w:sz w:val="24"/>
          <w:szCs w:val="24"/>
        </w:rPr>
        <w:t xml:space="preserve">deceased’s children </w:t>
      </w:r>
      <w:r w:rsidR="002A5F96">
        <w:rPr>
          <w:rFonts w:ascii="Constantia" w:hAnsi="Constantia"/>
          <w:sz w:val="24"/>
          <w:szCs w:val="24"/>
        </w:rPr>
        <w:t xml:space="preserve">in 1962, </w:t>
      </w:r>
      <w:r w:rsidR="00BA774D">
        <w:rPr>
          <w:rFonts w:ascii="Constantia" w:hAnsi="Constantia"/>
          <w:sz w:val="24"/>
          <w:szCs w:val="24"/>
        </w:rPr>
        <w:t xml:space="preserve">the </w:t>
      </w:r>
      <w:r w:rsidR="0019387F">
        <w:rPr>
          <w:rFonts w:ascii="Constantia" w:hAnsi="Constantia"/>
          <w:sz w:val="24"/>
          <w:szCs w:val="24"/>
        </w:rPr>
        <w:t xml:space="preserve">beneficiaries </w:t>
      </w:r>
      <w:r w:rsidR="00BA774D">
        <w:rPr>
          <w:rFonts w:ascii="Constantia" w:hAnsi="Constantia"/>
          <w:sz w:val="24"/>
          <w:szCs w:val="24"/>
        </w:rPr>
        <w:t xml:space="preserve">of such distribution </w:t>
      </w:r>
      <w:r w:rsidR="00316826">
        <w:rPr>
          <w:rFonts w:ascii="Constantia" w:hAnsi="Constantia"/>
          <w:sz w:val="24"/>
          <w:szCs w:val="24"/>
        </w:rPr>
        <w:t>acquired</w:t>
      </w:r>
      <w:r w:rsidR="00BA774D">
        <w:rPr>
          <w:rFonts w:ascii="Constantia" w:hAnsi="Constantia"/>
          <w:sz w:val="24"/>
          <w:szCs w:val="24"/>
        </w:rPr>
        <w:t xml:space="preserve"> beneficial </w:t>
      </w:r>
      <w:r w:rsidR="001E20B4">
        <w:rPr>
          <w:rFonts w:ascii="Constantia" w:hAnsi="Constantia"/>
          <w:sz w:val="24"/>
          <w:szCs w:val="24"/>
        </w:rPr>
        <w:t xml:space="preserve">ownership of </w:t>
      </w:r>
      <w:r w:rsidR="00BA774D">
        <w:rPr>
          <w:rFonts w:ascii="Constantia" w:hAnsi="Constantia"/>
          <w:sz w:val="24"/>
          <w:szCs w:val="24"/>
        </w:rPr>
        <w:t xml:space="preserve">the said land and </w:t>
      </w:r>
      <w:r w:rsidR="00316826">
        <w:rPr>
          <w:rFonts w:ascii="Constantia" w:hAnsi="Constantia"/>
          <w:sz w:val="24"/>
          <w:szCs w:val="24"/>
        </w:rPr>
        <w:t xml:space="preserve">would </w:t>
      </w:r>
      <w:r w:rsidR="00BA774D">
        <w:rPr>
          <w:rFonts w:ascii="Constantia" w:hAnsi="Constantia"/>
          <w:sz w:val="24"/>
          <w:szCs w:val="24"/>
        </w:rPr>
        <w:t xml:space="preserve">thus have </w:t>
      </w:r>
      <w:r w:rsidR="0019387F" w:rsidRPr="0019387F">
        <w:rPr>
          <w:rFonts w:ascii="Constantia" w:hAnsi="Constantia"/>
          <w:i/>
          <w:sz w:val="24"/>
          <w:szCs w:val="24"/>
        </w:rPr>
        <w:t>locus standi</w:t>
      </w:r>
      <w:r w:rsidR="0019387F">
        <w:rPr>
          <w:rFonts w:ascii="Constantia" w:hAnsi="Constantia"/>
          <w:sz w:val="24"/>
          <w:szCs w:val="24"/>
        </w:rPr>
        <w:t xml:space="preserve"> to seek the cancellation of the </w:t>
      </w:r>
      <w:r w:rsidR="0094137A">
        <w:rPr>
          <w:rFonts w:ascii="Constantia" w:hAnsi="Constantia"/>
          <w:sz w:val="24"/>
          <w:szCs w:val="24"/>
        </w:rPr>
        <w:t xml:space="preserve">registered proprietor’s </w:t>
      </w:r>
      <w:r w:rsidR="0019387F">
        <w:rPr>
          <w:rFonts w:ascii="Constantia" w:hAnsi="Constantia"/>
          <w:sz w:val="24"/>
          <w:szCs w:val="24"/>
        </w:rPr>
        <w:t xml:space="preserve">title for </w:t>
      </w:r>
      <w:r w:rsidR="001E20B4">
        <w:rPr>
          <w:rFonts w:ascii="Constantia" w:hAnsi="Constantia"/>
          <w:sz w:val="24"/>
          <w:szCs w:val="24"/>
        </w:rPr>
        <w:t xml:space="preserve">depriving them of such ownership on account of </w:t>
      </w:r>
      <w:r w:rsidR="0019387F">
        <w:rPr>
          <w:rFonts w:ascii="Constantia" w:hAnsi="Constantia"/>
          <w:sz w:val="24"/>
          <w:szCs w:val="24"/>
        </w:rPr>
        <w:t>fraud.</w:t>
      </w:r>
      <w:r w:rsidR="003A31F0">
        <w:rPr>
          <w:rFonts w:ascii="Constantia" w:hAnsi="Constantia"/>
          <w:sz w:val="24"/>
          <w:szCs w:val="24"/>
        </w:rPr>
        <w:t xml:space="preserve">  </w:t>
      </w:r>
      <w:r w:rsidR="00C17405">
        <w:rPr>
          <w:rFonts w:ascii="Constantia" w:hAnsi="Constantia"/>
          <w:sz w:val="24"/>
          <w:szCs w:val="24"/>
        </w:rPr>
        <w:t>I</w:t>
      </w:r>
      <w:r w:rsidR="00721130">
        <w:rPr>
          <w:rFonts w:ascii="Constantia" w:hAnsi="Constantia"/>
          <w:sz w:val="24"/>
          <w:szCs w:val="24"/>
        </w:rPr>
        <w:t>n other words, the deceased’s estate having already been distributed at the time of filing the present suit, it wa</w:t>
      </w:r>
      <w:r w:rsidR="00C17405">
        <w:rPr>
          <w:rFonts w:ascii="Constantia" w:hAnsi="Constantia"/>
          <w:sz w:val="24"/>
          <w:szCs w:val="24"/>
        </w:rPr>
        <w:t xml:space="preserve">s </w:t>
      </w:r>
      <w:r w:rsidR="00316826">
        <w:rPr>
          <w:rFonts w:ascii="Constantia" w:hAnsi="Constantia"/>
          <w:sz w:val="24"/>
          <w:szCs w:val="24"/>
        </w:rPr>
        <w:t xml:space="preserve">only </w:t>
      </w:r>
      <w:r w:rsidR="00124BA7">
        <w:rPr>
          <w:rFonts w:ascii="Constantia" w:hAnsi="Constantia"/>
          <w:sz w:val="24"/>
          <w:szCs w:val="24"/>
        </w:rPr>
        <w:t xml:space="preserve">such of the </w:t>
      </w:r>
      <w:r w:rsidR="00C17405">
        <w:rPr>
          <w:rFonts w:ascii="Constantia" w:hAnsi="Constantia"/>
          <w:sz w:val="24"/>
          <w:szCs w:val="24"/>
        </w:rPr>
        <w:t xml:space="preserve">beneficiaries that stood to be deprived of their apportioned land that had </w:t>
      </w:r>
      <w:r w:rsidR="00C17405" w:rsidRPr="00C17405">
        <w:rPr>
          <w:rFonts w:ascii="Constantia" w:hAnsi="Constantia"/>
          <w:i/>
          <w:sz w:val="24"/>
          <w:szCs w:val="24"/>
        </w:rPr>
        <w:t>locus standi</w:t>
      </w:r>
      <w:r w:rsidR="00C17405">
        <w:rPr>
          <w:rFonts w:ascii="Constantia" w:hAnsi="Constantia"/>
          <w:sz w:val="24"/>
          <w:szCs w:val="24"/>
        </w:rPr>
        <w:t xml:space="preserve"> to </w:t>
      </w:r>
      <w:r w:rsidR="00721130">
        <w:rPr>
          <w:rFonts w:ascii="Constantia" w:hAnsi="Constantia"/>
          <w:sz w:val="24"/>
          <w:szCs w:val="24"/>
        </w:rPr>
        <w:t xml:space="preserve">institute an action in </w:t>
      </w:r>
      <w:r w:rsidR="00C17405">
        <w:rPr>
          <w:rFonts w:ascii="Constantia" w:hAnsi="Constantia"/>
          <w:sz w:val="24"/>
          <w:szCs w:val="24"/>
        </w:rPr>
        <w:t>fraud.</w:t>
      </w:r>
      <w:r w:rsidR="00124BA7">
        <w:rPr>
          <w:rFonts w:ascii="Constantia" w:hAnsi="Constantia"/>
          <w:sz w:val="24"/>
          <w:szCs w:val="24"/>
        </w:rPr>
        <w:t xml:space="preserve">  Therefore, for present purposes, it would only be those beneficiaries whose land fell within the boundaries of the disputed land that would have </w:t>
      </w:r>
      <w:r w:rsidR="00124BA7" w:rsidRPr="00124BA7">
        <w:rPr>
          <w:rFonts w:ascii="Constantia" w:hAnsi="Constantia"/>
          <w:i/>
          <w:sz w:val="24"/>
          <w:szCs w:val="24"/>
        </w:rPr>
        <w:t>locus standi</w:t>
      </w:r>
      <w:r w:rsidR="00124BA7">
        <w:rPr>
          <w:rFonts w:ascii="Constantia" w:hAnsi="Constantia"/>
          <w:sz w:val="24"/>
          <w:szCs w:val="24"/>
        </w:rPr>
        <w:t xml:space="preserve"> to institute the present proceedings. </w:t>
      </w:r>
    </w:p>
    <w:p w:rsidR="003623D2" w:rsidRDefault="00652F5D" w:rsidP="005F5E9D">
      <w:pPr>
        <w:jc w:val="both"/>
        <w:rPr>
          <w:rFonts w:ascii="Constantia" w:hAnsi="Constantia"/>
          <w:sz w:val="24"/>
          <w:szCs w:val="24"/>
        </w:rPr>
      </w:pPr>
      <w:r>
        <w:rPr>
          <w:rFonts w:ascii="Constantia" w:hAnsi="Constantia"/>
          <w:sz w:val="24"/>
          <w:szCs w:val="24"/>
        </w:rPr>
        <w:t xml:space="preserve">I have carefully scrutinised the evidence in this case.  </w:t>
      </w:r>
      <w:r w:rsidR="003A31F0">
        <w:rPr>
          <w:rFonts w:ascii="Constantia" w:hAnsi="Constantia"/>
          <w:sz w:val="24"/>
          <w:szCs w:val="24"/>
        </w:rPr>
        <w:t>The third plaintiff</w:t>
      </w:r>
      <w:r w:rsidR="000724DC">
        <w:rPr>
          <w:rFonts w:ascii="Constantia" w:hAnsi="Constantia"/>
          <w:sz w:val="24"/>
          <w:szCs w:val="24"/>
        </w:rPr>
        <w:t>, Abisagi Nalore Nnalongo,</w:t>
      </w:r>
      <w:r w:rsidR="003A31F0">
        <w:rPr>
          <w:rFonts w:ascii="Constantia" w:hAnsi="Constantia"/>
          <w:sz w:val="24"/>
          <w:szCs w:val="24"/>
        </w:rPr>
        <w:t xml:space="preserve"> was </w:t>
      </w:r>
      <w:r w:rsidR="000724DC">
        <w:rPr>
          <w:rFonts w:ascii="Constantia" w:hAnsi="Constantia"/>
          <w:sz w:val="24"/>
          <w:szCs w:val="24"/>
        </w:rPr>
        <w:t>enumerated</w:t>
      </w:r>
      <w:r w:rsidR="006A4D31">
        <w:rPr>
          <w:rFonts w:ascii="Constantia" w:hAnsi="Constantia"/>
          <w:sz w:val="24"/>
          <w:szCs w:val="24"/>
        </w:rPr>
        <w:t xml:space="preserve"> by PW3 as </w:t>
      </w:r>
      <w:r w:rsidR="003A31F0">
        <w:rPr>
          <w:rFonts w:ascii="Constantia" w:hAnsi="Constantia"/>
          <w:sz w:val="24"/>
          <w:szCs w:val="24"/>
        </w:rPr>
        <w:t xml:space="preserve">one of the </w:t>
      </w:r>
      <w:r w:rsidR="006A4D31">
        <w:rPr>
          <w:rFonts w:ascii="Constantia" w:hAnsi="Constantia"/>
          <w:sz w:val="24"/>
          <w:szCs w:val="24"/>
        </w:rPr>
        <w:t>persons that benefited from the distribution of Yonasani Were’s land in 196</w:t>
      </w:r>
      <w:r w:rsidR="000724DC">
        <w:rPr>
          <w:rFonts w:ascii="Constantia" w:hAnsi="Constantia"/>
          <w:sz w:val="24"/>
          <w:szCs w:val="24"/>
        </w:rPr>
        <w:t>2</w:t>
      </w:r>
      <w:r w:rsidR="006A4D31">
        <w:rPr>
          <w:rFonts w:ascii="Constantia" w:hAnsi="Constantia"/>
          <w:sz w:val="24"/>
          <w:szCs w:val="24"/>
        </w:rPr>
        <w:t xml:space="preserve">.  </w:t>
      </w:r>
      <w:r w:rsidR="000724DC">
        <w:rPr>
          <w:rFonts w:ascii="Constantia" w:hAnsi="Constantia"/>
          <w:sz w:val="24"/>
          <w:szCs w:val="24"/>
        </w:rPr>
        <w:t xml:space="preserve">This was confirmed by PW5 who referred to a one Abisagi Bisaka as having received 1.8 acres of land.  </w:t>
      </w:r>
      <w:r w:rsidR="006A4D31">
        <w:rPr>
          <w:rFonts w:ascii="Constantia" w:hAnsi="Constantia"/>
          <w:sz w:val="24"/>
          <w:szCs w:val="24"/>
        </w:rPr>
        <w:t xml:space="preserve">She </w:t>
      </w:r>
      <w:r w:rsidR="000724DC">
        <w:rPr>
          <w:rFonts w:ascii="Constantia" w:hAnsi="Constantia"/>
          <w:sz w:val="24"/>
          <w:szCs w:val="24"/>
        </w:rPr>
        <w:t xml:space="preserve">did </w:t>
      </w:r>
      <w:r w:rsidR="006A4D31">
        <w:rPr>
          <w:rFonts w:ascii="Constantia" w:hAnsi="Constantia"/>
          <w:sz w:val="24"/>
          <w:szCs w:val="24"/>
        </w:rPr>
        <w:t>also attest to that fact</w:t>
      </w:r>
      <w:r w:rsidR="000724DC">
        <w:rPr>
          <w:rFonts w:ascii="Constantia" w:hAnsi="Constantia"/>
          <w:sz w:val="24"/>
          <w:szCs w:val="24"/>
        </w:rPr>
        <w:t xml:space="preserve"> herself</w:t>
      </w:r>
      <w:r w:rsidR="00124BA7">
        <w:rPr>
          <w:rFonts w:ascii="Constantia" w:hAnsi="Constantia"/>
          <w:sz w:val="24"/>
          <w:szCs w:val="24"/>
        </w:rPr>
        <w:t xml:space="preserve">, stating </w:t>
      </w:r>
      <w:r w:rsidR="006A4D31">
        <w:rPr>
          <w:rFonts w:ascii="Constantia" w:hAnsi="Constantia"/>
          <w:sz w:val="24"/>
          <w:szCs w:val="24"/>
        </w:rPr>
        <w:t>quite categorically that she received her share of her father’s land in 196</w:t>
      </w:r>
      <w:r w:rsidR="00C46525">
        <w:rPr>
          <w:rFonts w:ascii="Constantia" w:hAnsi="Constantia"/>
          <w:sz w:val="24"/>
          <w:szCs w:val="24"/>
        </w:rPr>
        <w:t>2</w:t>
      </w:r>
      <w:r w:rsidR="006A4D31">
        <w:rPr>
          <w:rFonts w:ascii="Constantia" w:hAnsi="Constantia"/>
          <w:sz w:val="24"/>
          <w:szCs w:val="24"/>
        </w:rPr>
        <w:t xml:space="preserve">. </w:t>
      </w:r>
      <w:r w:rsidR="00652EC5">
        <w:rPr>
          <w:rFonts w:ascii="Constantia" w:hAnsi="Constantia"/>
          <w:sz w:val="24"/>
          <w:szCs w:val="24"/>
        </w:rPr>
        <w:t xml:space="preserve"> The plaintiffs’ evidence did also establish that the land described as Block 236 plots 28 and 33 was distributed amongst the deceased’s children</w:t>
      </w:r>
      <w:r w:rsidR="007D0562">
        <w:rPr>
          <w:rFonts w:ascii="Constantia" w:hAnsi="Constantia"/>
          <w:sz w:val="24"/>
          <w:szCs w:val="24"/>
        </w:rPr>
        <w:t xml:space="preserve"> and </w:t>
      </w:r>
      <w:r w:rsidR="00652EC5">
        <w:rPr>
          <w:rFonts w:ascii="Constantia" w:hAnsi="Constantia"/>
          <w:sz w:val="24"/>
          <w:szCs w:val="24"/>
        </w:rPr>
        <w:t>the suit land had been fraudulently curved out of plot 28</w:t>
      </w:r>
      <w:r w:rsidR="007D0562">
        <w:rPr>
          <w:rFonts w:ascii="Constantia" w:hAnsi="Constantia"/>
          <w:sz w:val="24"/>
          <w:szCs w:val="24"/>
        </w:rPr>
        <w:t xml:space="preserve">.  This clearly established </w:t>
      </w:r>
      <w:r w:rsidR="00652EC5">
        <w:rPr>
          <w:rFonts w:ascii="Constantia" w:hAnsi="Constantia"/>
          <w:sz w:val="24"/>
          <w:szCs w:val="24"/>
        </w:rPr>
        <w:t xml:space="preserve">the suit land </w:t>
      </w:r>
      <w:r w:rsidR="007D0562">
        <w:rPr>
          <w:rFonts w:ascii="Constantia" w:hAnsi="Constantia"/>
          <w:sz w:val="24"/>
          <w:szCs w:val="24"/>
        </w:rPr>
        <w:t xml:space="preserve">as having been part of </w:t>
      </w:r>
      <w:r w:rsidR="00652EC5">
        <w:rPr>
          <w:rFonts w:ascii="Constantia" w:hAnsi="Constantia"/>
          <w:sz w:val="24"/>
          <w:szCs w:val="24"/>
        </w:rPr>
        <w:t xml:space="preserve">the land that </w:t>
      </w:r>
      <w:r w:rsidR="00202BD8">
        <w:rPr>
          <w:rFonts w:ascii="Constantia" w:hAnsi="Constantia"/>
          <w:sz w:val="24"/>
          <w:szCs w:val="24"/>
        </w:rPr>
        <w:t>was</w:t>
      </w:r>
      <w:r w:rsidR="00652EC5">
        <w:rPr>
          <w:rFonts w:ascii="Constantia" w:hAnsi="Constantia"/>
          <w:sz w:val="24"/>
          <w:szCs w:val="24"/>
        </w:rPr>
        <w:t xml:space="preserve"> distributed.</w:t>
      </w:r>
      <w:r w:rsidR="006A4D31">
        <w:rPr>
          <w:rFonts w:ascii="Constantia" w:hAnsi="Constantia"/>
          <w:sz w:val="24"/>
          <w:szCs w:val="24"/>
        </w:rPr>
        <w:t xml:space="preserve"> </w:t>
      </w:r>
      <w:r w:rsidR="00652EC5">
        <w:rPr>
          <w:rFonts w:ascii="Constantia" w:hAnsi="Constantia"/>
          <w:sz w:val="24"/>
          <w:szCs w:val="24"/>
        </w:rPr>
        <w:t xml:space="preserve"> </w:t>
      </w:r>
      <w:r w:rsidR="006A4D31">
        <w:rPr>
          <w:rFonts w:ascii="Constantia" w:hAnsi="Constantia"/>
          <w:sz w:val="24"/>
          <w:szCs w:val="24"/>
        </w:rPr>
        <w:t xml:space="preserve">However, the plaintiffs’ evidence </w:t>
      </w:r>
      <w:r w:rsidR="00A87B5C">
        <w:rPr>
          <w:rFonts w:ascii="Constantia" w:hAnsi="Constantia"/>
          <w:sz w:val="24"/>
          <w:szCs w:val="24"/>
        </w:rPr>
        <w:t xml:space="preserve">collectively </w:t>
      </w:r>
      <w:r w:rsidR="006A4D31">
        <w:rPr>
          <w:rFonts w:ascii="Constantia" w:hAnsi="Constantia"/>
          <w:sz w:val="24"/>
          <w:szCs w:val="24"/>
        </w:rPr>
        <w:t xml:space="preserve">fell short on proof that </w:t>
      </w:r>
      <w:r w:rsidR="003A31F0">
        <w:rPr>
          <w:rFonts w:ascii="Constantia" w:hAnsi="Constantia"/>
          <w:sz w:val="24"/>
          <w:szCs w:val="24"/>
        </w:rPr>
        <w:t xml:space="preserve">the </w:t>
      </w:r>
      <w:r w:rsidR="006A4D31">
        <w:rPr>
          <w:rFonts w:ascii="Constantia" w:hAnsi="Constantia"/>
          <w:sz w:val="24"/>
          <w:szCs w:val="24"/>
        </w:rPr>
        <w:t xml:space="preserve">specific </w:t>
      </w:r>
      <w:r w:rsidR="003A31F0">
        <w:rPr>
          <w:rFonts w:ascii="Constantia" w:hAnsi="Constantia"/>
          <w:sz w:val="24"/>
          <w:szCs w:val="24"/>
        </w:rPr>
        <w:t xml:space="preserve">portion of land that </w:t>
      </w:r>
      <w:r w:rsidR="006A4D31">
        <w:rPr>
          <w:rFonts w:ascii="Constantia" w:hAnsi="Constantia"/>
          <w:sz w:val="24"/>
          <w:szCs w:val="24"/>
        </w:rPr>
        <w:t xml:space="preserve">the third plaintiff was </w:t>
      </w:r>
      <w:r w:rsidR="003A31F0">
        <w:rPr>
          <w:rFonts w:ascii="Constantia" w:hAnsi="Constantia"/>
          <w:sz w:val="24"/>
          <w:szCs w:val="24"/>
        </w:rPr>
        <w:t xml:space="preserve">allocated </w:t>
      </w:r>
      <w:r w:rsidR="00652EC5">
        <w:rPr>
          <w:rFonts w:ascii="Constantia" w:hAnsi="Constantia"/>
          <w:sz w:val="24"/>
          <w:szCs w:val="24"/>
        </w:rPr>
        <w:t xml:space="preserve">actually </w:t>
      </w:r>
      <w:r w:rsidR="00DD1D9E">
        <w:rPr>
          <w:rFonts w:ascii="Constantia" w:hAnsi="Constantia"/>
          <w:sz w:val="24"/>
          <w:szCs w:val="24"/>
        </w:rPr>
        <w:t>lay</w:t>
      </w:r>
      <w:r w:rsidR="003A31F0">
        <w:rPr>
          <w:rFonts w:ascii="Constantia" w:hAnsi="Constantia"/>
          <w:sz w:val="24"/>
          <w:szCs w:val="24"/>
        </w:rPr>
        <w:t xml:space="preserve"> within the </w:t>
      </w:r>
      <w:r w:rsidR="00DD1D9E">
        <w:rPr>
          <w:rFonts w:ascii="Constantia" w:hAnsi="Constantia"/>
          <w:sz w:val="24"/>
          <w:szCs w:val="24"/>
        </w:rPr>
        <w:t xml:space="preserve">boundaries of the </w:t>
      </w:r>
      <w:r w:rsidR="003A31F0">
        <w:rPr>
          <w:rFonts w:ascii="Constantia" w:hAnsi="Constantia"/>
          <w:sz w:val="24"/>
          <w:szCs w:val="24"/>
        </w:rPr>
        <w:t>suit land</w:t>
      </w:r>
      <w:r w:rsidR="00652EC5">
        <w:rPr>
          <w:rFonts w:ascii="Constantia" w:hAnsi="Constantia"/>
          <w:sz w:val="24"/>
          <w:szCs w:val="24"/>
        </w:rPr>
        <w:t xml:space="preserve"> </w:t>
      </w:r>
      <w:r w:rsidR="00AF639C" w:rsidRPr="00AF639C">
        <w:rPr>
          <w:rFonts w:ascii="Constantia" w:hAnsi="Constantia"/>
          <w:sz w:val="24"/>
          <w:szCs w:val="24"/>
        </w:rPr>
        <w:t xml:space="preserve">so as to bring her within the confines of section 176 of the RTA as a person that stood to be deprived of land on account of alleged fraud. </w:t>
      </w:r>
      <w:r w:rsidR="00652EC5">
        <w:rPr>
          <w:rFonts w:ascii="Constantia" w:hAnsi="Constantia"/>
          <w:sz w:val="24"/>
          <w:szCs w:val="24"/>
        </w:rPr>
        <w:t xml:space="preserve">It </w:t>
      </w:r>
      <w:r w:rsidR="00823192">
        <w:rPr>
          <w:rFonts w:ascii="Constantia" w:hAnsi="Constantia"/>
          <w:sz w:val="24"/>
          <w:szCs w:val="24"/>
        </w:rPr>
        <w:t xml:space="preserve">cannot be presumed that the </w:t>
      </w:r>
      <w:r w:rsidR="00522802">
        <w:rPr>
          <w:rFonts w:ascii="Constantia" w:hAnsi="Constantia"/>
          <w:sz w:val="24"/>
          <w:szCs w:val="24"/>
        </w:rPr>
        <w:t xml:space="preserve">land that was </w:t>
      </w:r>
      <w:r w:rsidR="00D322C9">
        <w:rPr>
          <w:rFonts w:ascii="Constantia" w:hAnsi="Constantia"/>
          <w:sz w:val="24"/>
          <w:szCs w:val="24"/>
        </w:rPr>
        <w:t>specifically apportioned</w:t>
      </w:r>
      <w:r w:rsidR="00522802">
        <w:rPr>
          <w:rFonts w:ascii="Constantia" w:hAnsi="Constantia"/>
          <w:sz w:val="24"/>
          <w:szCs w:val="24"/>
        </w:rPr>
        <w:t xml:space="preserve"> to </w:t>
      </w:r>
      <w:r w:rsidR="00823192">
        <w:rPr>
          <w:rFonts w:ascii="Constantia" w:hAnsi="Constantia"/>
          <w:sz w:val="24"/>
          <w:szCs w:val="24"/>
        </w:rPr>
        <w:t>h</w:t>
      </w:r>
      <w:r w:rsidR="00202BD8">
        <w:rPr>
          <w:rFonts w:ascii="Constantia" w:hAnsi="Constantia"/>
          <w:sz w:val="24"/>
          <w:szCs w:val="24"/>
        </w:rPr>
        <w:t>er</w:t>
      </w:r>
      <w:r w:rsidR="00823192">
        <w:rPr>
          <w:rFonts w:ascii="Constantia" w:hAnsi="Constantia"/>
          <w:sz w:val="24"/>
          <w:szCs w:val="24"/>
        </w:rPr>
        <w:t xml:space="preserve"> fell within the </w:t>
      </w:r>
      <w:r w:rsidR="00DD1D9E">
        <w:rPr>
          <w:rFonts w:ascii="Constantia" w:hAnsi="Constantia"/>
          <w:sz w:val="24"/>
          <w:szCs w:val="24"/>
        </w:rPr>
        <w:t>confines</w:t>
      </w:r>
      <w:r w:rsidR="00522802">
        <w:rPr>
          <w:rFonts w:ascii="Constantia" w:hAnsi="Constantia"/>
          <w:sz w:val="24"/>
          <w:szCs w:val="24"/>
        </w:rPr>
        <w:t xml:space="preserve"> of the </w:t>
      </w:r>
      <w:r w:rsidR="00D322C9">
        <w:rPr>
          <w:rFonts w:ascii="Constantia" w:hAnsi="Constantia"/>
          <w:sz w:val="24"/>
          <w:szCs w:val="24"/>
        </w:rPr>
        <w:t>20 acre piece of land described as Kyadondo Block 236 plot 63 that is in dispute presently</w:t>
      </w:r>
      <w:r w:rsidR="00AF639C">
        <w:rPr>
          <w:rFonts w:ascii="Constantia" w:hAnsi="Constantia"/>
          <w:sz w:val="24"/>
          <w:szCs w:val="24"/>
        </w:rPr>
        <w:t>.</w:t>
      </w:r>
      <w:r w:rsidR="00124BA7">
        <w:rPr>
          <w:rFonts w:ascii="Constantia" w:hAnsi="Constantia"/>
          <w:sz w:val="24"/>
          <w:szCs w:val="24"/>
        </w:rPr>
        <w:t xml:space="preserve"> </w:t>
      </w:r>
      <w:r w:rsidR="00AF639C">
        <w:rPr>
          <w:rFonts w:ascii="Constantia" w:hAnsi="Constantia"/>
          <w:sz w:val="24"/>
          <w:szCs w:val="24"/>
        </w:rPr>
        <w:t>Her</w:t>
      </w:r>
      <w:r w:rsidR="00361956">
        <w:rPr>
          <w:rFonts w:ascii="Constantia" w:hAnsi="Constantia"/>
          <w:sz w:val="24"/>
          <w:szCs w:val="24"/>
        </w:rPr>
        <w:t xml:space="preserve"> claim to the disputed land </w:t>
      </w:r>
      <w:r w:rsidR="00C46525">
        <w:rPr>
          <w:rFonts w:ascii="Constantia" w:hAnsi="Constantia"/>
          <w:sz w:val="24"/>
          <w:szCs w:val="24"/>
        </w:rPr>
        <w:t xml:space="preserve">is a question of fact that must be established by credible, cogent evidence.  </w:t>
      </w:r>
      <w:r>
        <w:rPr>
          <w:rFonts w:ascii="Constantia" w:hAnsi="Constantia"/>
          <w:sz w:val="24"/>
          <w:szCs w:val="24"/>
        </w:rPr>
        <w:t xml:space="preserve">The plaintiffs </w:t>
      </w:r>
      <w:r w:rsidR="00AF639C">
        <w:rPr>
          <w:rFonts w:ascii="Constantia" w:hAnsi="Constantia"/>
          <w:sz w:val="24"/>
          <w:szCs w:val="24"/>
        </w:rPr>
        <w:t>bore the burden of proof of this i</w:t>
      </w:r>
      <w:r w:rsidR="00202BD8">
        <w:rPr>
          <w:rFonts w:ascii="Constantia" w:hAnsi="Constantia"/>
          <w:sz w:val="24"/>
          <w:szCs w:val="24"/>
        </w:rPr>
        <w:t>mportant issue</w:t>
      </w:r>
      <w:r w:rsidR="00AF639C">
        <w:rPr>
          <w:rFonts w:ascii="Constantia" w:hAnsi="Constantia"/>
          <w:sz w:val="24"/>
          <w:szCs w:val="24"/>
        </w:rPr>
        <w:t xml:space="preserve"> </w:t>
      </w:r>
      <w:r>
        <w:rPr>
          <w:rFonts w:ascii="Constantia" w:hAnsi="Constantia"/>
          <w:sz w:val="24"/>
          <w:szCs w:val="24"/>
        </w:rPr>
        <w:t>to the required standard</w:t>
      </w:r>
      <w:r w:rsidR="00AF639C">
        <w:rPr>
          <w:rFonts w:ascii="Constantia" w:hAnsi="Constantia"/>
          <w:sz w:val="24"/>
          <w:szCs w:val="24"/>
        </w:rPr>
        <w:t xml:space="preserve">.  Proof of fraud is established by a higher standard of proof than ordinary balance of probabilities.  </w:t>
      </w:r>
      <w:r w:rsidR="00D910E6">
        <w:rPr>
          <w:rFonts w:ascii="Constantia" w:hAnsi="Constantia"/>
          <w:sz w:val="24"/>
          <w:szCs w:val="24"/>
        </w:rPr>
        <w:t>In the present case</w:t>
      </w:r>
      <w:r w:rsidR="00AF639C">
        <w:rPr>
          <w:rFonts w:ascii="Constantia" w:hAnsi="Constantia"/>
          <w:sz w:val="24"/>
          <w:szCs w:val="24"/>
        </w:rPr>
        <w:t>, as highlighted above,</w:t>
      </w:r>
      <w:r w:rsidR="00D910E6">
        <w:rPr>
          <w:rFonts w:ascii="Constantia" w:hAnsi="Constantia"/>
          <w:sz w:val="24"/>
          <w:szCs w:val="24"/>
        </w:rPr>
        <w:t xml:space="preserve"> </w:t>
      </w:r>
      <w:r>
        <w:rPr>
          <w:rFonts w:ascii="Constantia" w:hAnsi="Constantia"/>
          <w:sz w:val="24"/>
          <w:szCs w:val="24"/>
        </w:rPr>
        <w:t xml:space="preserve">the plaintiffs’ evidence fell short of </w:t>
      </w:r>
      <w:r w:rsidR="00D910E6">
        <w:rPr>
          <w:rFonts w:ascii="Constantia" w:hAnsi="Constantia"/>
          <w:sz w:val="24"/>
          <w:szCs w:val="24"/>
        </w:rPr>
        <w:t xml:space="preserve">such </w:t>
      </w:r>
      <w:r>
        <w:rPr>
          <w:rFonts w:ascii="Constantia" w:hAnsi="Constantia"/>
          <w:sz w:val="24"/>
          <w:szCs w:val="24"/>
        </w:rPr>
        <w:t>proof</w:t>
      </w:r>
      <w:r w:rsidR="00D910E6">
        <w:rPr>
          <w:rFonts w:ascii="Constantia" w:hAnsi="Constantia"/>
          <w:sz w:val="24"/>
          <w:szCs w:val="24"/>
        </w:rPr>
        <w:t xml:space="preserve">. </w:t>
      </w:r>
      <w:r>
        <w:rPr>
          <w:rFonts w:ascii="Constantia" w:hAnsi="Constantia"/>
          <w:sz w:val="24"/>
          <w:szCs w:val="24"/>
        </w:rPr>
        <w:t xml:space="preserve"> I therefore find that the third plaintiff had no </w:t>
      </w:r>
      <w:r w:rsidRPr="00652F5D">
        <w:rPr>
          <w:rFonts w:ascii="Constantia" w:hAnsi="Constantia"/>
          <w:i/>
          <w:sz w:val="24"/>
          <w:szCs w:val="24"/>
        </w:rPr>
        <w:t>locus standi</w:t>
      </w:r>
      <w:r>
        <w:rPr>
          <w:rFonts w:ascii="Constantia" w:hAnsi="Constantia"/>
          <w:sz w:val="24"/>
          <w:szCs w:val="24"/>
        </w:rPr>
        <w:t xml:space="preserve"> to institute the present proceedings.</w:t>
      </w:r>
      <w:r w:rsidR="00D910E6">
        <w:rPr>
          <w:rFonts w:ascii="Constantia" w:hAnsi="Constantia"/>
          <w:sz w:val="24"/>
          <w:szCs w:val="24"/>
        </w:rPr>
        <w:t xml:space="preserve"> </w:t>
      </w:r>
    </w:p>
    <w:p w:rsidR="001B2D51" w:rsidRDefault="00A87B5C" w:rsidP="00E47CFB">
      <w:pPr>
        <w:jc w:val="both"/>
        <w:rPr>
          <w:rFonts w:ascii="Constantia" w:hAnsi="Constantia"/>
          <w:sz w:val="24"/>
          <w:szCs w:val="24"/>
        </w:rPr>
      </w:pPr>
      <w:r w:rsidRPr="002B7F1D">
        <w:rPr>
          <w:rFonts w:ascii="Constantia" w:hAnsi="Constantia"/>
          <w:sz w:val="24"/>
          <w:szCs w:val="24"/>
        </w:rPr>
        <w:t xml:space="preserve">With regard to the </w:t>
      </w:r>
      <w:r w:rsidR="003A31F0" w:rsidRPr="002B7F1D">
        <w:rPr>
          <w:rFonts w:ascii="Constantia" w:hAnsi="Constantia"/>
          <w:sz w:val="24"/>
          <w:szCs w:val="24"/>
        </w:rPr>
        <w:t xml:space="preserve">first and second plaintiffs, </w:t>
      </w:r>
      <w:r w:rsidRPr="002B7F1D">
        <w:rPr>
          <w:rFonts w:ascii="Constantia" w:hAnsi="Constantia"/>
          <w:sz w:val="24"/>
          <w:szCs w:val="24"/>
        </w:rPr>
        <w:t>the evidence on record is that they did</w:t>
      </w:r>
      <w:r w:rsidR="003A31F0" w:rsidRPr="002B7F1D">
        <w:rPr>
          <w:rFonts w:ascii="Constantia" w:hAnsi="Constantia"/>
          <w:sz w:val="24"/>
          <w:szCs w:val="24"/>
        </w:rPr>
        <w:t xml:space="preserve"> not </w:t>
      </w:r>
      <w:r w:rsidRPr="002B7F1D">
        <w:rPr>
          <w:rFonts w:ascii="Constantia" w:hAnsi="Constantia"/>
          <w:sz w:val="24"/>
          <w:szCs w:val="24"/>
        </w:rPr>
        <w:t xml:space="preserve">directly </w:t>
      </w:r>
      <w:r w:rsidR="003A31F0" w:rsidRPr="002B7F1D">
        <w:rPr>
          <w:rFonts w:ascii="Constantia" w:hAnsi="Constantia"/>
          <w:sz w:val="24"/>
          <w:szCs w:val="24"/>
        </w:rPr>
        <w:t>benefi</w:t>
      </w:r>
      <w:r w:rsidRPr="002B7F1D">
        <w:rPr>
          <w:rFonts w:ascii="Constantia" w:hAnsi="Constantia"/>
          <w:sz w:val="24"/>
          <w:szCs w:val="24"/>
        </w:rPr>
        <w:t xml:space="preserve">t from the </w:t>
      </w:r>
      <w:r w:rsidR="003A31F0" w:rsidRPr="002B7F1D">
        <w:rPr>
          <w:rFonts w:ascii="Constantia" w:hAnsi="Constantia"/>
          <w:sz w:val="24"/>
          <w:szCs w:val="24"/>
        </w:rPr>
        <w:t xml:space="preserve">distribution of Yonasani Were’s </w:t>
      </w:r>
      <w:r w:rsidRPr="002B7F1D">
        <w:rPr>
          <w:rFonts w:ascii="Constantia" w:hAnsi="Constantia"/>
          <w:sz w:val="24"/>
          <w:szCs w:val="24"/>
        </w:rPr>
        <w:t>land</w:t>
      </w:r>
      <w:r w:rsidR="003A31F0" w:rsidRPr="002B7F1D">
        <w:rPr>
          <w:rFonts w:ascii="Constantia" w:hAnsi="Constantia"/>
          <w:sz w:val="24"/>
          <w:szCs w:val="24"/>
        </w:rPr>
        <w:t>.</w:t>
      </w:r>
      <w:r w:rsidRPr="002B7F1D">
        <w:rPr>
          <w:rFonts w:ascii="Constantia" w:hAnsi="Constantia"/>
          <w:sz w:val="24"/>
          <w:szCs w:val="24"/>
        </w:rPr>
        <w:t xml:space="preserve"> </w:t>
      </w:r>
      <w:r w:rsidR="0094108F" w:rsidRPr="002B7F1D">
        <w:rPr>
          <w:rFonts w:ascii="Constantia" w:hAnsi="Constantia"/>
          <w:sz w:val="24"/>
          <w:szCs w:val="24"/>
        </w:rPr>
        <w:t xml:space="preserve"> </w:t>
      </w:r>
      <w:r w:rsidRPr="002B7F1D">
        <w:rPr>
          <w:rFonts w:ascii="Constantia" w:hAnsi="Constantia"/>
          <w:sz w:val="24"/>
          <w:szCs w:val="24"/>
        </w:rPr>
        <w:t xml:space="preserve"> </w:t>
      </w:r>
      <w:r w:rsidR="0019387F" w:rsidRPr="002B7F1D">
        <w:rPr>
          <w:rFonts w:ascii="Constantia" w:hAnsi="Constantia"/>
          <w:sz w:val="24"/>
          <w:szCs w:val="24"/>
        </w:rPr>
        <w:t xml:space="preserve"> </w:t>
      </w:r>
      <w:r w:rsidR="00241BE2" w:rsidRPr="002B7F1D">
        <w:rPr>
          <w:rFonts w:ascii="Constantia" w:hAnsi="Constantia"/>
          <w:sz w:val="24"/>
          <w:szCs w:val="24"/>
        </w:rPr>
        <w:t>As his lineal descendant</w:t>
      </w:r>
      <w:r w:rsidR="00866704">
        <w:rPr>
          <w:rFonts w:ascii="Constantia" w:hAnsi="Constantia"/>
          <w:sz w:val="24"/>
          <w:szCs w:val="24"/>
        </w:rPr>
        <w:t>,</w:t>
      </w:r>
      <w:r w:rsidR="00241BE2" w:rsidRPr="002B7F1D">
        <w:rPr>
          <w:rFonts w:ascii="Constantia" w:hAnsi="Constantia"/>
          <w:sz w:val="24"/>
          <w:szCs w:val="24"/>
        </w:rPr>
        <w:t xml:space="preserve"> the first plaintiff </w:t>
      </w:r>
      <w:r w:rsidR="00056734" w:rsidRPr="002B7F1D">
        <w:rPr>
          <w:rFonts w:ascii="Constantia" w:hAnsi="Constantia"/>
          <w:sz w:val="24"/>
          <w:szCs w:val="24"/>
        </w:rPr>
        <w:t>might</w:t>
      </w:r>
      <w:r w:rsidR="00241BE2" w:rsidRPr="002B7F1D">
        <w:rPr>
          <w:rFonts w:ascii="Constantia" w:hAnsi="Constantia"/>
          <w:sz w:val="24"/>
          <w:szCs w:val="24"/>
        </w:rPr>
        <w:t xml:space="preserve"> have been entitled to benefit from Yonasani Were’s estate as provided by section 27(1) of the Succession Act</w:t>
      </w:r>
      <w:r w:rsidR="00B01B5D" w:rsidRPr="002B7F1D">
        <w:rPr>
          <w:rFonts w:ascii="Constantia" w:hAnsi="Constantia"/>
          <w:sz w:val="24"/>
          <w:szCs w:val="24"/>
        </w:rPr>
        <w:t xml:space="preserve"> but </w:t>
      </w:r>
      <w:r w:rsidR="00241BE2" w:rsidRPr="002B7F1D">
        <w:rPr>
          <w:rFonts w:ascii="Constantia" w:hAnsi="Constantia"/>
          <w:sz w:val="24"/>
          <w:szCs w:val="24"/>
        </w:rPr>
        <w:t xml:space="preserve">at the time the present suit was filed </w:t>
      </w:r>
      <w:r w:rsidR="00202BD8" w:rsidRPr="002B7F1D">
        <w:rPr>
          <w:rFonts w:ascii="Constantia" w:hAnsi="Constantia"/>
          <w:sz w:val="24"/>
          <w:szCs w:val="24"/>
        </w:rPr>
        <w:t xml:space="preserve">in 2007 </w:t>
      </w:r>
      <w:r w:rsidR="00241BE2" w:rsidRPr="002B7F1D">
        <w:rPr>
          <w:rFonts w:ascii="Constantia" w:hAnsi="Constantia"/>
          <w:sz w:val="24"/>
          <w:szCs w:val="24"/>
        </w:rPr>
        <w:t xml:space="preserve">the </w:t>
      </w:r>
      <w:r w:rsidR="00B01B5D" w:rsidRPr="002B7F1D">
        <w:rPr>
          <w:rFonts w:ascii="Constantia" w:hAnsi="Constantia"/>
          <w:sz w:val="24"/>
          <w:szCs w:val="24"/>
        </w:rPr>
        <w:t xml:space="preserve">deceased’s land </w:t>
      </w:r>
      <w:r w:rsidR="00241BE2" w:rsidRPr="002B7F1D">
        <w:rPr>
          <w:rFonts w:ascii="Constantia" w:hAnsi="Constantia"/>
          <w:sz w:val="24"/>
          <w:szCs w:val="24"/>
        </w:rPr>
        <w:t>had already been distributed</w:t>
      </w:r>
      <w:r w:rsidR="00B01B5D" w:rsidRPr="002B7F1D">
        <w:rPr>
          <w:rFonts w:ascii="Constantia" w:hAnsi="Constantia"/>
          <w:sz w:val="24"/>
          <w:szCs w:val="24"/>
        </w:rPr>
        <w:t xml:space="preserve"> </w:t>
      </w:r>
      <w:r w:rsidR="00202BD8" w:rsidRPr="002B7F1D">
        <w:rPr>
          <w:rFonts w:ascii="Constantia" w:hAnsi="Constantia"/>
          <w:sz w:val="24"/>
          <w:szCs w:val="24"/>
        </w:rPr>
        <w:t xml:space="preserve">among his (deceased’s) beneficiaries; the first plaintiff was not among the said beneficiaries </w:t>
      </w:r>
      <w:r w:rsidR="00B01B5D" w:rsidRPr="002B7F1D">
        <w:rPr>
          <w:rFonts w:ascii="Constantia" w:hAnsi="Constantia"/>
          <w:sz w:val="24"/>
          <w:szCs w:val="24"/>
        </w:rPr>
        <w:t>and</w:t>
      </w:r>
      <w:r w:rsidR="00866704">
        <w:rPr>
          <w:rFonts w:ascii="Constantia" w:hAnsi="Constantia"/>
          <w:sz w:val="24"/>
          <w:szCs w:val="24"/>
        </w:rPr>
        <w:t xml:space="preserve"> was therefore </w:t>
      </w:r>
      <w:r w:rsidR="00202BD8" w:rsidRPr="002B7F1D">
        <w:rPr>
          <w:rFonts w:ascii="Constantia" w:hAnsi="Constantia"/>
          <w:sz w:val="24"/>
          <w:szCs w:val="24"/>
        </w:rPr>
        <w:t xml:space="preserve">not </w:t>
      </w:r>
      <w:r w:rsidR="00202BD8" w:rsidRPr="002B7F1D">
        <w:rPr>
          <w:rFonts w:ascii="Constantia" w:hAnsi="Constantia"/>
          <w:sz w:val="24"/>
          <w:szCs w:val="24"/>
        </w:rPr>
        <w:lastRenderedPageBreak/>
        <w:t>possessed of beneficial ownership in any of the land so distributed</w:t>
      </w:r>
      <w:r w:rsidR="002B7F1D">
        <w:rPr>
          <w:rFonts w:ascii="Constantia" w:hAnsi="Constantia"/>
          <w:sz w:val="24"/>
          <w:szCs w:val="24"/>
        </w:rPr>
        <w:t xml:space="preserve">.  The first plaintiff was not possessed of </w:t>
      </w:r>
      <w:r w:rsidR="002B7F1D" w:rsidRPr="002B7F1D">
        <w:rPr>
          <w:rFonts w:ascii="Constantia" w:hAnsi="Constantia"/>
          <w:sz w:val="24"/>
          <w:szCs w:val="24"/>
        </w:rPr>
        <w:t xml:space="preserve">any </w:t>
      </w:r>
      <w:r w:rsidR="00907E89">
        <w:rPr>
          <w:rFonts w:ascii="Constantia" w:hAnsi="Constantia"/>
          <w:sz w:val="24"/>
          <w:szCs w:val="24"/>
        </w:rPr>
        <w:t xml:space="preserve">proven </w:t>
      </w:r>
      <w:r w:rsidR="002B7F1D" w:rsidRPr="002B7F1D">
        <w:rPr>
          <w:rFonts w:ascii="Constantia" w:hAnsi="Constantia"/>
          <w:sz w:val="24"/>
          <w:szCs w:val="24"/>
        </w:rPr>
        <w:t xml:space="preserve">beneficial interest in </w:t>
      </w:r>
      <w:r w:rsidR="002B7F1D">
        <w:rPr>
          <w:rFonts w:ascii="Constantia" w:hAnsi="Constantia"/>
          <w:sz w:val="24"/>
          <w:szCs w:val="24"/>
        </w:rPr>
        <w:t xml:space="preserve">Yonasani Were’s estate either therefore the principle advanced in the case of </w:t>
      </w:r>
      <w:r w:rsidR="002B7F1D" w:rsidRPr="002B7F1D">
        <w:rPr>
          <w:rFonts w:ascii="Constantia" w:hAnsi="Constantia"/>
          <w:b/>
          <w:sz w:val="24"/>
          <w:szCs w:val="24"/>
          <w:u w:val="single"/>
        </w:rPr>
        <w:t>Israel Kabwa</w:t>
      </w:r>
      <w:r w:rsidR="002B7F1D">
        <w:rPr>
          <w:rFonts w:ascii="Constantia" w:hAnsi="Constantia"/>
          <w:sz w:val="24"/>
          <w:szCs w:val="24"/>
        </w:rPr>
        <w:t xml:space="preserve"> </w:t>
      </w:r>
      <w:r w:rsidR="00907E89">
        <w:rPr>
          <w:rFonts w:ascii="Constantia" w:hAnsi="Constantia"/>
          <w:sz w:val="24"/>
          <w:szCs w:val="24"/>
        </w:rPr>
        <w:t xml:space="preserve">is </w:t>
      </w:r>
      <w:r w:rsidR="002B7F1D">
        <w:rPr>
          <w:rFonts w:ascii="Constantia" w:hAnsi="Constantia"/>
          <w:sz w:val="24"/>
          <w:szCs w:val="24"/>
        </w:rPr>
        <w:t xml:space="preserve">inapplicable to </w:t>
      </w:r>
      <w:r w:rsidR="00907E89">
        <w:rPr>
          <w:rFonts w:ascii="Constantia" w:hAnsi="Constantia"/>
          <w:sz w:val="24"/>
          <w:szCs w:val="24"/>
        </w:rPr>
        <w:t>him</w:t>
      </w:r>
      <w:r w:rsidR="002B7F1D">
        <w:rPr>
          <w:rFonts w:ascii="Constantia" w:hAnsi="Constantia"/>
          <w:sz w:val="24"/>
          <w:szCs w:val="24"/>
        </w:rPr>
        <w:t xml:space="preserve">.  </w:t>
      </w:r>
      <w:r w:rsidR="00BE6683">
        <w:rPr>
          <w:rFonts w:ascii="Constantia" w:hAnsi="Constantia"/>
          <w:sz w:val="24"/>
          <w:szCs w:val="24"/>
        </w:rPr>
        <w:t xml:space="preserve">Similarly, no interest in the suit land has been established with regard to the second plaintiff.  She was the first plaintiff’s sister-in-law; wife to his brother, </w:t>
      </w:r>
      <w:r w:rsidR="00BE6683" w:rsidRPr="000E1A8A">
        <w:rPr>
          <w:rFonts w:ascii="Constantia" w:hAnsi="Constantia"/>
          <w:sz w:val="24"/>
          <w:szCs w:val="24"/>
        </w:rPr>
        <w:t xml:space="preserve">Portipher Were. </w:t>
      </w:r>
      <w:r w:rsidR="00BE6683">
        <w:rPr>
          <w:rFonts w:ascii="Constantia" w:hAnsi="Constantia"/>
          <w:sz w:val="24"/>
          <w:szCs w:val="24"/>
        </w:rPr>
        <w:t xml:space="preserve"> Therefore, the second plaintiff was not a lineal descendant of Yonasani Were and, contrary to the assertion of learned counsel for the plaintiff, was not a beneficiary of his estate within the precincts of section 27(1) of the Succession Act.</w:t>
      </w:r>
      <w:r w:rsidR="00BE6683" w:rsidRPr="000E1A8A">
        <w:rPr>
          <w:rFonts w:ascii="Constantia" w:hAnsi="Constantia"/>
          <w:sz w:val="24"/>
          <w:szCs w:val="24"/>
        </w:rPr>
        <w:t xml:space="preserve"> </w:t>
      </w:r>
      <w:r w:rsidR="00BE6683">
        <w:rPr>
          <w:rFonts w:ascii="Constantia" w:hAnsi="Constantia"/>
          <w:sz w:val="24"/>
          <w:szCs w:val="24"/>
        </w:rPr>
        <w:t xml:space="preserve"> This court has not seen any evidence in support of her having had an interest in the suit land.  </w:t>
      </w:r>
      <w:r w:rsidR="00866704">
        <w:rPr>
          <w:rFonts w:ascii="Constantia" w:hAnsi="Constantia"/>
          <w:sz w:val="24"/>
          <w:szCs w:val="24"/>
        </w:rPr>
        <w:t xml:space="preserve">Consequently, </w:t>
      </w:r>
      <w:r w:rsidR="00647C29" w:rsidRPr="002B7F1D">
        <w:rPr>
          <w:rFonts w:ascii="Constantia" w:hAnsi="Constantia"/>
          <w:sz w:val="24"/>
          <w:szCs w:val="24"/>
        </w:rPr>
        <w:t xml:space="preserve">I </w:t>
      </w:r>
      <w:r w:rsidR="00BE6683">
        <w:rPr>
          <w:rFonts w:ascii="Constantia" w:hAnsi="Constantia"/>
          <w:sz w:val="24"/>
          <w:szCs w:val="24"/>
        </w:rPr>
        <w:t xml:space="preserve">would </w:t>
      </w:r>
      <w:r w:rsidR="00866704">
        <w:rPr>
          <w:rFonts w:ascii="Constantia" w:hAnsi="Constantia"/>
          <w:sz w:val="24"/>
          <w:szCs w:val="24"/>
        </w:rPr>
        <w:t>respectfully disa</w:t>
      </w:r>
      <w:r w:rsidR="00BE6683">
        <w:rPr>
          <w:rFonts w:ascii="Constantia" w:hAnsi="Constantia"/>
          <w:sz w:val="24"/>
          <w:szCs w:val="24"/>
        </w:rPr>
        <w:t>llow</w:t>
      </w:r>
      <w:r w:rsidR="00866704">
        <w:rPr>
          <w:rFonts w:ascii="Constantia" w:hAnsi="Constantia"/>
          <w:sz w:val="24"/>
          <w:szCs w:val="24"/>
        </w:rPr>
        <w:t xml:space="preserve"> </w:t>
      </w:r>
      <w:r w:rsidR="00202BD8" w:rsidRPr="002B7F1D">
        <w:rPr>
          <w:rFonts w:ascii="Constantia" w:hAnsi="Constantia"/>
          <w:sz w:val="24"/>
          <w:szCs w:val="24"/>
        </w:rPr>
        <w:t xml:space="preserve">the submissions of </w:t>
      </w:r>
      <w:r w:rsidR="00647C29" w:rsidRPr="002B7F1D">
        <w:rPr>
          <w:rFonts w:ascii="Constantia" w:hAnsi="Constantia"/>
          <w:sz w:val="24"/>
          <w:szCs w:val="24"/>
        </w:rPr>
        <w:t>learned counsel</w:t>
      </w:r>
      <w:r w:rsidR="00202BD8" w:rsidRPr="002B7F1D">
        <w:rPr>
          <w:rFonts w:ascii="Constantia" w:hAnsi="Constantia"/>
          <w:sz w:val="24"/>
          <w:szCs w:val="24"/>
        </w:rPr>
        <w:t xml:space="preserve"> for the plaintiff</w:t>
      </w:r>
      <w:r w:rsidR="00647C29" w:rsidRPr="002B7F1D">
        <w:rPr>
          <w:rFonts w:ascii="Constantia" w:hAnsi="Constantia"/>
          <w:sz w:val="24"/>
          <w:szCs w:val="24"/>
        </w:rPr>
        <w:t xml:space="preserve"> that the first </w:t>
      </w:r>
      <w:r w:rsidR="00BE6683">
        <w:rPr>
          <w:rFonts w:ascii="Constantia" w:hAnsi="Constantia"/>
          <w:sz w:val="24"/>
          <w:szCs w:val="24"/>
        </w:rPr>
        <w:t xml:space="preserve">and second </w:t>
      </w:r>
      <w:r w:rsidR="00647C29" w:rsidRPr="002B7F1D">
        <w:rPr>
          <w:rFonts w:ascii="Constantia" w:hAnsi="Constantia"/>
          <w:sz w:val="24"/>
          <w:szCs w:val="24"/>
        </w:rPr>
        <w:t>plaintiff</w:t>
      </w:r>
      <w:r w:rsidR="00BE6683">
        <w:rPr>
          <w:rFonts w:ascii="Constantia" w:hAnsi="Constantia"/>
          <w:sz w:val="24"/>
          <w:szCs w:val="24"/>
        </w:rPr>
        <w:t>s were</w:t>
      </w:r>
      <w:r w:rsidR="00647C29" w:rsidRPr="002B7F1D">
        <w:rPr>
          <w:rFonts w:ascii="Constantia" w:hAnsi="Constantia"/>
          <w:sz w:val="24"/>
          <w:szCs w:val="24"/>
        </w:rPr>
        <w:t xml:space="preserve"> entitled to institute the present proceedings as beneficiar</w:t>
      </w:r>
      <w:r w:rsidR="00BE6683">
        <w:rPr>
          <w:rFonts w:ascii="Constantia" w:hAnsi="Constantia"/>
          <w:sz w:val="24"/>
          <w:szCs w:val="24"/>
        </w:rPr>
        <w:t>ies</w:t>
      </w:r>
      <w:r w:rsidR="00647C29" w:rsidRPr="002B7F1D">
        <w:rPr>
          <w:rFonts w:ascii="Constantia" w:hAnsi="Constantia"/>
          <w:sz w:val="24"/>
          <w:szCs w:val="24"/>
        </w:rPr>
        <w:t xml:space="preserve"> of the deceased’s estate.</w:t>
      </w:r>
      <w:r w:rsidR="00647C29">
        <w:rPr>
          <w:rFonts w:ascii="Constantia" w:hAnsi="Constantia"/>
          <w:sz w:val="24"/>
          <w:szCs w:val="24"/>
        </w:rPr>
        <w:t xml:space="preserve"> </w:t>
      </w:r>
      <w:r w:rsidR="00BE6683">
        <w:rPr>
          <w:rFonts w:ascii="Constantia" w:hAnsi="Constantia"/>
          <w:sz w:val="24"/>
          <w:szCs w:val="24"/>
        </w:rPr>
        <w:t xml:space="preserve"> </w:t>
      </w:r>
      <w:r w:rsidR="00E47CFB">
        <w:rPr>
          <w:rFonts w:ascii="Constantia" w:hAnsi="Constantia"/>
          <w:sz w:val="24"/>
          <w:szCs w:val="24"/>
        </w:rPr>
        <w:t>In the result, I would agree with learned defence counsel that the plaintiffs ha</w:t>
      </w:r>
      <w:r w:rsidR="00056734">
        <w:rPr>
          <w:rFonts w:ascii="Constantia" w:hAnsi="Constantia"/>
          <w:sz w:val="24"/>
          <w:szCs w:val="24"/>
        </w:rPr>
        <w:t>d</w:t>
      </w:r>
      <w:r w:rsidR="00E47CFB">
        <w:rPr>
          <w:rFonts w:ascii="Constantia" w:hAnsi="Constantia"/>
          <w:sz w:val="24"/>
          <w:szCs w:val="24"/>
        </w:rPr>
        <w:t xml:space="preserve"> no </w:t>
      </w:r>
      <w:r w:rsidR="00E47CFB" w:rsidRPr="00A87B5C">
        <w:rPr>
          <w:rFonts w:ascii="Constantia" w:hAnsi="Constantia"/>
          <w:i/>
          <w:sz w:val="24"/>
          <w:szCs w:val="24"/>
        </w:rPr>
        <w:t>locus standi</w:t>
      </w:r>
      <w:r w:rsidR="00E47CFB">
        <w:rPr>
          <w:rFonts w:ascii="Constantia" w:hAnsi="Constantia"/>
          <w:sz w:val="24"/>
          <w:szCs w:val="24"/>
        </w:rPr>
        <w:t xml:space="preserve"> to institute the present suit. </w:t>
      </w:r>
      <w:r w:rsidR="00FB38ED">
        <w:rPr>
          <w:rFonts w:ascii="Constantia" w:hAnsi="Constantia"/>
          <w:sz w:val="24"/>
          <w:szCs w:val="24"/>
        </w:rPr>
        <w:t xml:space="preserve"> </w:t>
      </w:r>
    </w:p>
    <w:p w:rsidR="00103AE3" w:rsidRPr="004D0CCC" w:rsidRDefault="001B2D51" w:rsidP="00C52966">
      <w:pPr>
        <w:jc w:val="both"/>
        <w:rPr>
          <w:rFonts w:ascii="Constantia" w:hAnsi="Constantia"/>
          <w:bCs/>
          <w:sz w:val="24"/>
          <w:szCs w:val="24"/>
        </w:rPr>
      </w:pPr>
      <w:r>
        <w:rPr>
          <w:rFonts w:ascii="Constantia" w:hAnsi="Constantia"/>
          <w:sz w:val="24"/>
          <w:szCs w:val="24"/>
        </w:rPr>
        <w:t xml:space="preserve">The foregoing preliminary point of law would dispose of the entire suit but, for completion </w:t>
      </w:r>
      <w:r w:rsidR="0022651C">
        <w:rPr>
          <w:rFonts w:ascii="Constantia" w:hAnsi="Constantia"/>
          <w:sz w:val="24"/>
          <w:szCs w:val="24"/>
        </w:rPr>
        <w:t xml:space="preserve">this being a court of first instance, I shall briefly address the merits of the suit.  The crux of the matter herein is </w:t>
      </w:r>
      <w:r w:rsidR="00695892">
        <w:rPr>
          <w:rFonts w:ascii="Constantia" w:hAnsi="Constantia"/>
          <w:bCs/>
          <w:sz w:val="24"/>
          <w:szCs w:val="24"/>
        </w:rPr>
        <w:t xml:space="preserve">which of the titles before this court is valid; the title </w:t>
      </w:r>
      <w:r w:rsidR="009520D1" w:rsidRPr="004D0CCC">
        <w:rPr>
          <w:rFonts w:ascii="Constantia" w:hAnsi="Constantia"/>
          <w:bCs/>
          <w:sz w:val="24"/>
          <w:szCs w:val="24"/>
        </w:rPr>
        <w:t xml:space="preserve">held by the </w:t>
      </w:r>
      <w:r w:rsidR="00B63FC4" w:rsidRPr="004D0CCC">
        <w:rPr>
          <w:rFonts w:ascii="Constantia" w:hAnsi="Constantia"/>
          <w:bCs/>
          <w:sz w:val="24"/>
          <w:szCs w:val="24"/>
        </w:rPr>
        <w:t xml:space="preserve">first and second </w:t>
      </w:r>
      <w:r w:rsidR="009520D1" w:rsidRPr="004D0CCC">
        <w:rPr>
          <w:rFonts w:ascii="Constantia" w:hAnsi="Constantia"/>
          <w:bCs/>
          <w:sz w:val="24"/>
          <w:szCs w:val="24"/>
        </w:rPr>
        <w:t>plaintiffs</w:t>
      </w:r>
      <w:r w:rsidR="009520D1">
        <w:rPr>
          <w:rFonts w:ascii="Constantia" w:hAnsi="Constantia"/>
          <w:bCs/>
          <w:sz w:val="24"/>
          <w:szCs w:val="24"/>
        </w:rPr>
        <w:t xml:space="preserve"> </w:t>
      </w:r>
      <w:r w:rsidR="00695892">
        <w:rPr>
          <w:rFonts w:ascii="Constantia" w:hAnsi="Constantia"/>
          <w:bCs/>
          <w:sz w:val="24"/>
          <w:szCs w:val="24"/>
        </w:rPr>
        <w:t xml:space="preserve">in respect of Kyadondo Block </w:t>
      </w:r>
      <w:r w:rsidR="009520D1">
        <w:rPr>
          <w:rFonts w:ascii="Constantia" w:hAnsi="Constantia"/>
          <w:bCs/>
          <w:sz w:val="24"/>
          <w:szCs w:val="24"/>
        </w:rPr>
        <w:t xml:space="preserve">236 plots </w:t>
      </w:r>
      <w:r w:rsidR="00695892">
        <w:rPr>
          <w:rFonts w:ascii="Constantia" w:hAnsi="Constantia"/>
          <w:bCs/>
          <w:sz w:val="24"/>
          <w:szCs w:val="24"/>
        </w:rPr>
        <w:t xml:space="preserve">28 and 33 </w:t>
      </w:r>
      <w:r w:rsidR="0022651C">
        <w:rPr>
          <w:rFonts w:ascii="Constantia" w:hAnsi="Constantia"/>
          <w:bCs/>
          <w:sz w:val="24"/>
          <w:szCs w:val="24"/>
        </w:rPr>
        <w:t>(</w:t>
      </w:r>
      <w:r w:rsidR="00695892">
        <w:rPr>
          <w:rFonts w:ascii="Constantia" w:hAnsi="Constantia"/>
          <w:bCs/>
          <w:sz w:val="24"/>
          <w:szCs w:val="24"/>
        </w:rPr>
        <w:t>Exhibit P</w:t>
      </w:r>
      <w:r w:rsidR="009520D1">
        <w:rPr>
          <w:rFonts w:ascii="Constantia" w:hAnsi="Constantia"/>
          <w:bCs/>
          <w:sz w:val="24"/>
          <w:szCs w:val="24"/>
        </w:rPr>
        <w:t>4</w:t>
      </w:r>
      <w:r w:rsidR="0022651C">
        <w:rPr>
          <w:rFonts w:ascii="Constantia" w:hAnsi="Constantia"/>
          <w:bCs/>
          <w:sz w:val="24"/>
          <w:szCs w:val="24"/>
        </w:rPr>
        <w:t>)</w:t>
      </w:r>
      <w:r w:rsidR="009520D1">
        <w:rPr>
          <w:rFonts w:ascii="Constantia" w:hAnsi="Constantia"/>
          <w:bCs/>
          <w:sz w:val="24"/>
          <w:szCs w:val="24"/>
        </w:rPr>
        <w:t xml:space="preserve"> or the title held by the defendants in respect of Kyadondo Block 236 plot 63 </w:t>
      </w:r>
      <w:r w:rsidR="0022651C">
        <w:rPr>
          <w:rFonts w:ascii="Constantia" w:hAnsi="Constantia"/>
          <w:bCs/>
          <w:sz w:val="24"/>
          <w:szCs w:val="24"/>
        </w:rPr>
        <w:t>(</w:t>
      </w:r>
      <w:r w:rsidR="009520D1">
        <w:rPr>
          <w:rFonts w:ascii="Constantia" w:hAnsi="Constantia"/>
          <w:bCs/>
          <w:sz w:val="24"/>
          <w:szCs w:val="24"/>
        </w:rPr>
        <w:t>Exh</w:t>
      </w:r>
      <w:r w:rsidR="00EF3451">
        <w:rPr>
          <w:rFonts w:ascii="Constantia" w:hAnsi="Constantia"/>
          <w:bCs/>
          <w:sz w:val="24"/>
          <w:szCs w:val="24"/>
        </w:rPr>
        <w:t>ibit</w:t>
      </w:r>
      <w:r w:rsidR="009520D1">
        <w:rPr>
          <w:rFonts w:ascii="Constantia" w:hAnsi="Constantia"/>
          <w:bCs/>
          <w:sz w:val="24"/>
          <w:szCs w:val="24"/>
        </w:rPr>
        <w:t xml:space="preserve"> D</w:t>
      </w:r>
      <w:r w:rsidR="004E7006">
        <w:rPr>
          <w:rFonts w:ascii="Constantia" w:hAnsi="Constantia"/>
          <w:bCs/>
          <w:sz w:val="24"/>
          <w:szCs w:val="24"/>
        </w:rPr>
        <w:t>1</w:t>
      </w:r>
      <w:r w:rsidR="0022651C">
        <w:rPr>
          <w:rFonts w:ascii="Constantia" w:hAnsi="Constantia"/>
          <w:bCs/>
          <w:sz w:val="24"/>
          <w:szCs w:val="24"/>
        </w:rPr>
        <w:t>)</w:t>
      </w:r>
      <w:r w:rsidR="004E7006">
        <w:rPr>
          <w:rFonts w:ascii="Constantia" w:hAnsi="Constantia"/>
          <w:bCs/>
          <w:sz w:val="24"/>
          <w:szCs w:val="24"/>
        </w:rPr>
        <w:t>.</w:t>
      </w:r>
      <w:r w:rsidR="009520D1">
        <w:rPr>
          <w:rFonts w:ascii="Constantia" w:hAnsi="Constantia"/>
          <w:bCs/>
          <w:sz w:val="24"/>
          <w:szCs w:val="24"/>
        </w:rPr>
        <w:t xml:space="preserve"> </w:t>
      </w:r>
      <w:r w:rsidR="004E7006">
        <w:rPr>
          <w:rFonts w:ascii="Constantia" w:hAnsi="Constantia"/>
          <w:bCs/>
          <w:sz w:val="24"/>
          <w:szCs w:val="24"/>
        </w:rPr>
        <w:t xml:space="preserve"> </w:t>
      </w:r>
    </w:p>
    <w:p w:rsidR="00392158" w:rsidRDefault="00D2160F" w:rsidP="00A25E95">
      <w:pPr>
        <w:jc w:val="both"/>
        <w:rPr>
          <w:rFonts w:ascii="Constantia" w:hAnsi="Constantia"/>
          <w:bCs/>
          <w:sz w:val="24"/>
          <w:szCs w:val="24"/>
        </w:rPr>
      </w:pPr>
      <w:r w:rsidRPr="00A25E95">
        <w:rPr>
          <w:rFonts w:ascii="Constantia" w:hAnsi="Constantia"/>
          <w:bCs/>
          <w:sz w:val="24"/>
          <w:szCs w:val="24"/>
        </w:rPr>
        <w:t xml:space="preserve">It was the plaintiffs’ case that </w:t>
      </w:r>
      <w:r w:rsidR="004E7006" w:rsidRPr="00A25E95">
        <w:rPr>
          <w:rFonts w:ascii="Constantia" w:hAnsi="Constantia"/>
          <w:bCs/>
          <w:sz w:val="24"/>
          <w:szCs w:val="24"/>
        </w:rPr>
        <w:t>Yonasani Were purchased 26 acres of land known as MRV 1134 folio 5</w:t>
      </w:r>
      <w:r w:rsidR="00952740" w:rsidRPr="00A25E95">
        <w:rPr>
          <w:rFonts w:ascii="Constantia" w:hAnsi="Constantia"/>
          <w:bCs/>
          <w:sz w:val="24"/>
          <w:szCs w:val="24"/>
        </w:rPr>
        <w:t xml:space="preserve">, which later became known as Kyadondo Block 236 plot 28 &amp; 33.  The title was </w:t>
      </w:r>
      <w:r w:rsidRPr="00A25E95">
        <w:rPr>
          <w:rFonts w:ascii="Constantia" w:hAnsi="Constantia"/>
          <w:bCs/>
          <w:sz w:val="24"/>
          <w:szCs w:val="24"/>
        </w:rPr>
        <w:t xml:space="preserve">admitted </w:t>
      </w:r>
      <w:r w:rsidR="00952740" w:rsidRPr="00A25E95">
        <w:rPr>
          <w:rFonts w:ascii="Constantia" w:hAnsi="Constantia"/>
          <w:bCs/>
          <w:sz w:val="24"/>
          <w:szCs w:val="24"/>
        </w:rPr>
        <w:t xml:space="preserve">in evidence </w:t>
      </w:r>
      <w:r w:rsidRPr="00A25E95">
        <w:rPr>
          <w:rFonts w:ascii="Constantia" w:hAnsi="Constantia"/>
          <w:bCs/>
          <w:sz w:val="24"/>
          <w:szCs w:val="24"/>
        </w:rPr>
        <w:t>as Exh</w:t>
      </w:r>
      <w:r w:rsidR="00EF3451">
        <w:rPr>
          <w:rFonts w:ascii="Constantia" w:hAnsi="Constantia"/>
          <w:bCs/>
          <w:sz w:val="24"/>
          <w:szCs w:val="24"/>
        </w:rPr>
        <w:t>ibit</w:t>
      </w:r>
      <w:r w:rsidRPr="00A25E95">
        <w:rPr>
          <w:rFonts w:ascii="Constantia" w:hAnsi="Constantia"/>
          <w:bCs/>
          <w:sz w:val="24"/>
          <w:szCs w:val="24"/>
        </w:rPr>
        <w:t xml:space="preserve"> P4. </w:t>
      </w:r>
      <w:r w:rsidR="00952740" w:rsidRPr="00A25E95">
        <w:rPr>
          <w:rFonts w:ascii="Constantia" w:hAnsi="Constantia"/>
          <w:bCs/>
          <w:sz w:val="24"/>
          <w:szCs w:val="24"/>
        </w:rPr>
        <w:t xml:space="preserve"> </w:t>
      </w:r>
      <w:r w:rsidRPr="00A25E95">
        <w:rPr>
          <w:rFonts w:ascii="Constantia" w:hAnsi="Constantia"/>
          <w:bCs/>
          <w:sz w:val="24"/>
          <w:szCs w:val="24"/>
        </w:rPr>
        <w:t xml:space="preserve">DW4 later cancelled plot 28 from </w:t>
      </w:r>
      <w:r w:rsidR="00952740" w:rsidRPr="00A25E95">
        <w:rPr>
          <w:rFonts w:ascii="Constantia" w:hAnsi="Constantia"/>
          <w:bCs/>
          <w:sz w:val="24"/>
          <w:szCs w:val="24"/>
        </w:rPr>
        <w:t>the title, an action contested by the plaintiffs on grounds that a</w:t>
      </w:r>
      <w:r w:rsidRPr="00A25E95">
        <w:rPr>
          <w:rFonts w:ascii="Constantia" w:hAnsi="Constantia"/>
          <w:bCs/>
          <w:sz w:val="24"/>
          <w:szCs w:val="24"/>
        </w:rPr>
        <w:t xml:space="preserve"> 1955 sub-division </w:t>
      </w:r>
      <w:r w:rsidR="00952740" w:rsidRPr="00A25E95">
        <w:rPr>
          <w:rFonts w:ascii="Constantia" w:hAnsi="Constantia"/>
          <w:bCs/>
          <w:sz w:val="24"/>
          <w:szCs w:val="24"/>
        </w:rPr>
        <w:t xml:space="preserve">of plot 28 </w:t>
      </w:r>
      <w:r w:rsidRPr="00A25E95">
        <w:rPr>
          <w:rFonts w:ascii="Constantia" w:hAnsi="Constantia"/>
          <w:bCs/>
          <w:sz w:val="24"/>
          <w:szCs w:val="24"/>
        </w:rPr>
        <w:t xml:space="preserve">to create plots 61, 62 &amp; 63 was vide </w:t>
      </w:r>
      <w:r w:rsidR="00952740" w:rsidRPr="00A25E95">
        <w:rPr>
          <w:rFonts w:ascii="Constantia" w:hAnsi="Constantia"/>
          <w:bCs/>
          <w:sz w:val="24"/>
          <w:szCs w:val="24"/>
        </w:rPr>
        <w:t xml:space="preserve">the same </w:t>
      </w:r>
      <w:r w:rsidRPr="00A25E95">
        <w:rPr>
          <w:rFonts w:ascii="Constantia" w:hAnsi="Constantia"/>
          <w:bCs/>
          <w:sz w:val="24"/>
          <w:szCs w:val="24"/>
        </w:rPr>
        <w:t xml:space="preserve">Instrument No. 128355 </w:t>
      </w:r>
      <w:r w:rsidR="00952740" w:rsidRPr="00A25E95">
        <w:rPr>
          <w:rFonts w:ascii="Constantia" w:hAnsi="Constantia"/>
          <w:bCs/>
          <w:sz w:val="24"/>
          <w:szCs w:val="24"/>
        </w:rPr>
        <w:t xml:space="preserve">that </w:t>
      </w:r>
      <w:r w:rsidR="00A00A15" w:rsidRPr="00A25E95">
        <w:rPr>
          <w:rFonts w:ascii="Constantia" w:hAnsi="Constantia"/>
          <w:bCs/>
          <w:sz w:val="24"/>
          <w:szCs w:val="24"/>
        </w:rPr>
        <w:t xml:space="preserve">applied to </w:t>
      </w:r>
      <w:r w:rsidRPr="00A25E95">
        <w:rPr>
          <w:rFonts w:ascii="Constantia" w:hAnsi="Constantia"/>
          <w:bCs/>
          <w:sz w:val="24"/>
          <w:szCs w:val="24"/>
        </w:rPr>
        <w:t>another title MRV 1361 folio 24</w:t>
      </w:r>
      <w:r w:rsidR="00A00A15" w:rsidRPr="00A25E95">
        <w:rPr>
          <w:rFonts w:ascii="Constantia" w:hAnsi="Constantia"/>
          <w:bCs/>
          <w:sz w:val="24"/>
          <w:szCs w:val="24"/>
        </w:rPr>
        <w:t xml:space="preserve">.  Given that it was on the basis of that 1955 sub-division that DW4 had cancelled plot 28, it was argued for the plaintiffs that the cancellation of the title in respect of </w:t>
      </w:r>
      <w:r w:rsidRPr="00A25E95">
        <w:rPr>
          <w:rFonts w:ascii="Constantia" w:hAnsi="Constantia"/>
          <w:bCs/>
          <w:sz w:val="24"/>
          <w:szCs w:val="24"/>
        </w:rPr>
        <w:t xml:space="preserve">plot </w:t>
      </w:r>
      <w:r w:rsidR="00A00A15" w:rsidRPr="00A25E95">
        <w:rPr>
          <w:rFonts w:ascii="Constantia" w:hAnsi="Constantia"/>
          <w:bCs/>
          <w:sz w:val="24"/>
          <w:szCs w:val="24"/>
        </w:rPr>
        <w:t xml:space="preserve">28 was done </w:t>
      </w:r>
      <w:r w:rsidRPr="00A25E95">
        <w:rPr>
          <w:rFonts w:ascii="Constantia" w:hAnsi="Constantia"/>
          <w:bCs/>
          <w:sz w:val="24"/>
          <w:szCs w:val="24"/>
        </w:rPr>
        <w:t xml:space="preserve">irregularly and so too was </w:t>
      </w:r>
      <w:r w:rsidR="00A00A15" w:rsidRPr="00A25E95">
        <w:rPr>
          <w:rFonts w:ascii="Constantia" w:hAnsi="Constantia"/>
          <w:bCs/>
          <w:sz w:val="24"/>
          <w:szCs w:val="24"/>
        </w:rPr>
        <w:t>the issuance of the certificate of title in respect of plot 63 that is held by the defendants.</w:t>
      </w:r>
      <w:r w:rsidRPr="00A25E95">
        <w:rPr>
          <w:rFonts w:ascii="Constantia" w:hAnsi="Constantia"/>
          <w:bCs/>
          <w:sz w:val="24"/>
          <w:szCs w:val="24"/>
        </w:rPr>
        <w:t xml:space="preserve">  </w:t>
      </w:r>
      <w:r w:rsidR="00E77AD3" w:rsidRPr="00A25E95">
        <w:rPr>
          <w:rFonts w:ascii="Constantia" w:hAnsi="Constantia"/>
          <w:bCs/>
          <w:sz w:val="24"/>
          <w:szCs w:val="24"/>
        </w:rPr>
        <w:t xml:space="preserve">The plaintiffs relied on the evidence of PW1 and PW2 in support of their claims.  </w:t>
      </w:r>
      <w:r w:rsidR="00392158" w:rsidRPr="00392158">
        <w:rPr>
          <w:rFonts w:ascii="Constantia" w:hAnsi="Constantia"/>
          <w:bCs/>
          <w:sz w:val="24"/>
          <w:szCs w:val="24"/>
        </w:rPr>
        <w:t>It was strongly argued for the plaintiffs that a deed of mutation or an equivalent document signed by a land owner are critical documents to authorise a sub-division, in the absence of which and without a court (vesting) order, there cannot be a regular, valid or legally binding subdivision.  In this case neither the mutation form nor court order was forthcoming.  Similarly critical is a deed of transfer by a landowner as proof of such transfer.  There was none in the present case.</w:t>
      </w:r>
      <w:r w:rsidR="00392158">
        <w:rPr>
          <w:rFonts w:ascii="Constantia" w:hAnsi="Constantia"/>
          <w:bCs/>
          <w:sz w:val="24"/>
          <w:szCs w:val="24"/>
        </w:rPr>
        <w:t xml:space="preserve">  </w:t>
      </w:r>
    </w:p>
    <w:p w:rsidR="00FE07A6" w:rsidRDefault="00E77AD3" w:rsidP="0031152A">
      <w:pPr>
        <w:jc w:val="both"/>
        <w:rPr>
          <w:rFonts w:ascii="Constantia" w:hAnsi="Constantia"/>
          <w:bCs/>
          <w:sz w:val="24"/>
          <w:szCs w:val="24"/>
        </w:rPr>
      </w:pPr>
      <w:r w:rsidRPr="00392158">
        <w:rPr>
          <w:rFonts w:ascii="Constantia" w:hAnsi="Constantia"/>
          <w:bCs/>
          <w:sz w:val="24"/>
          <w:szCs w:val="24"/>
        </w:rPr>
        <w:t xml:space="preserve">Conversely, </w:t>
      </w:r>
      <w:r w:rsidR="0022651C">
        <w:rPr>
          <w:rFonts w:ascii="Constantia" w:hAnsi="Constantia"/>
          <w:bCs/>
          <w:sz w:val="24"/>
          <w:szCs w:val="24"/>
        </w:rPr>
        <w:t xml:space="preserve">the defence contended </w:t>
      </w:r>
      <w:r w:rsidR="00347561" w:rsidRPr="00392158">
        <w:rPr>
          <w:rFonts w:ascii="Constantia" w:hAnsi="Constantia"/>
          <w:bCs/>
          <w:sz w:val="24"/>
          <w:szCs w:val="24"/>
        </w:rPr>
        <w:t>that Yonasani Were had bought 26 acres of land from Kezeroni Kasenya but</w:t>
      </w:r>
      <w:r w:rsidR="00CE0674">
        <w:rPr>
          <w:rFonts w:ascii="Constantia" w:hAnsi="Constantia"/>
          <w:bCs/>
          <w:sz w:val="24"/>
          <w:szCs w:val="24"/>
        </w:rPr>
        <w:t>,</w:t>
      </w:r>
      <w:r w:rsidR="00347561" w:rsidRPr="00392158">
        <w:rPr>
          <w:rFonts w:ascii="Constantia" w:hAnsi="Constantia"/>
          <w:bCs/>
          <w:sz w:val="24"/>
          <w:szCs w:val="24"/>
        </w:rPr>
        <w:t xml:space="preserve"> upon his failure to complete payment for 20 acres</w:t>
      </w:r>
      <w:r w:rsidR="00CE0674">
        <w:rPr>
          <w:rFonts w:ascii="Constantia" w:hAnsi="Constantia"/>
          <w:bCs/>
          <w:sz w:val="24"/>
          <w:szCs w:val="24"/>
        </w:rPr>
        <w:t>,</w:t>
      </w:r>
      <w:r w:rsidR="00347561" w:rsidRPr="00392158">
        <w:rPr>
          <w:rFonts w:ascii="Constantia" w:hAnsi="Constantia"/>
          <w:bCs/>
          <w:sz w:val="24"/>
          <w:szCs w:val="24"/>
        </w:rPr>
        <w:t xml:space="preserve"> they were </w:t>
      </w:r>
      <w:r w:rsidR="00347561" w:rsidRPr="00392158">
        <w:rPr>
          <w:rFonts w:ascii="Constantia" w:hAnsi="Constantia"/>
          <w:bCs/>
          <w:sz w:val="24"/>
          <w:szCs w:val="24"/>
        </w:rPr>
        <w:lastRenderedPageBreak/>
        <w:t>returned to Kasenya and a certificate of title in respect thereof was subsequently issued to wit Kyadondo Block 236 plot 63.  Currently registered in the names</w:t>
      </w:r>
      <w:r w:rsidR="00383D76">
        <w:rPr>
          <w:rFonts w:ascii="Constantia" w:hAnsi="Constantia"/>
          <w:bCs/>
          <w:sz w:val="24"/>
          <w:szCs w:val="24"/>
        </w:rPr>
        <w:t xml:space="preserve"> of the </w:t>
      </w:r>
      <w:r w:rsidR="00383D76">
        <w:rPr>
          <w:rFonts w:ascii="Constantia" w:hAnsi="Constantia"/>
          <w:sz w:val="24"/>
          <w:szCs w:val="24"/>
        </w:rPr>
        <w:t>first, second and third defendants;</w:t>
      </w:r>
      <w:r w:rsidR="00347561" w:rsidRPr="00392158">
        <w:rPr>
          <w:rFonts w:ascii="Constantia" w:hAnsi="Constantia"/>
          <w:bCs/>
          <w:sz w:val="24"/>
          <w:szCs w:val="24"/>
        </w:rPr>
        <w:t xml:space="preserve"> the title was as at 1955 registered in the names of </w:t>
      </w:r>
      <w:r w:rsidR="00EF3451">
        <w:rPr>
          <w:rFonts w:ascii="Constantia" w:hAnsi="Constantia"/>
          <w:bCs/>
          <w:sz w:val="24"/>
          <w:szCs w:val="24"/>
        </w:rPr>
        <w:t xml:space="preserve">a one </w:t>
      </w:r>
      <w:r w:rsidR="00347561" w:rsidRPr="00392158">
        <w:rPr>
          <w:rFonts w:ascii="Constantia" w:hAnsi="Constantia"/>
          <w:bCs/>
          <w:sz w:val="24"/>
          <w:szCs w:val="24"/>
        </w:rPr>
        <w:t>K</w:t>
      </w:r>
      <w:r w:rsidR="00A25E95" w:rsidRPr="00392158">
        <w:rPr>
          <w:rFonts w:ascii="Constantia" w:hAnsi="Constantia"/>
          <w:bCs/>
          <w:sz w:val="24"/>
          <w:szCs w:val="24"/>
        </w:rPr>
        <w:t>a</w:t>
      </w:r>
      <w:r w:rsidR="00347561" w:rsidRPr="00392158">
        <w:rPr>
          <w:rFonts w:ascii="Constantia" w:hAnsi="Constantia"/>
          <w:bCs/>
          <w:sz w:val="24"/>
          <w:szCs w:val="24"/>
        </w:rPr>
        <w:t xml:space="preserve">senya from whom the </w:t>
      </w:r>
      <w:r w:rsidR="00071359">
        <w:rPr>
          <w:rFonts w:ascii="Constantia" w:hAnsi="Constantia"/>
          <w:bCs/>
          <w:sz w:val="24"/>
          <w:szCs w:val="24"/>
        </w:rPr>
        <w:t xml:space="preserve">said </w:t>
      </w:r>
      <w:r w:rsidR="00347561" w:rsidRPr="00392158">
        <w:rPr>
          <w:rFonts w:ascii="Constantia" w:hAnsi="Constantia"/>
          <w:bCs/>
          <w:sz w:val="24"/>
          <w:szCs w:val="24"/>
        </w:rPr>
        <w:t xml:space="preserve">defendants </w:t>
      </w:r>
      <w:r w:rsidR="00EF3451">
        <w:rPr>
          <w:rFonts w:ascii="Constantia" w:hAnsi="Constantia"/>
          <w:bCs/>
          <w:sz w:val="24"/>
          <w:szCs w:val="24"/>
        </w:rPr>
        <w:t xml:space="preserve">would </w:t>
      </w:r>
      <w:r w:rsidR="00347561" w:rsidRPr="00392158">
        <w:rPr>
          <w:rFonts w:ascii="Constantia" w:hAnsi="Constantia"/>
          <w:bCs/>
          <w:sz w:val="24"/>
          <w:szCs w:val="24"/>
        </w:rPr>
        <w:t xml:space="preserve">derive title.  </w:t>
      </w:r>
      <w:r w:rsidR="00A25E95" w:rsidRPr="00392158">
        <w:rPr>
          <w:rFonts w:ascii="Constantia" w:hAnsi="Constantia"/>
          <w:bCs/>
          <w:sz w:val="24"/>
          <w:szCs w:val="24"/>
        </w:rPr>
        <w:t>M</w:t>
      </w:r>
      <w:r w:rsidR="00347561" w:rsidRPr="00392158">
        <w:rPr>
          <w:rFonts w:ascii="Constantia" w:hAnsi="Constantia"/>
          <w:bCs/>
          <w:sz w:val="24"/>
          <w:szCs w:val="24"/>
        </w:rPr>
        <w:t xml:space="preserve">icrofilms </w:t>
      </w:r>
      <w:r w:rsidR="00A25E95" w:rsidRPr="00392158">
        <w:rPr>
          <w:rFonts w:ascii="Constantia" w:hAnsi="Constantia"/>
          <w:bCs/>
          <w:sz w:val="24"/>
          <w:szCs w:val="24"/>
        </w:rPr>
        <w:t xml:space="preserve">admitted on the record as </w:t>
      </w:r>
      <w:r w:rsidR="00347561" w:rsidRPr="00392158">
        <w:rPr>
          <w:rFonts w:ascii="Constantia" w:hAnsi="Constantia"/>
          <w:bCs/>
          <w:sz w:val="24"/>
          <w:szCs w:val="24"/>
        </w:rPr>
        <w:t>Exh</w:t>
      </w:r>
      <w:r w:rsidR="00EF3451">
        <w:rPr>
          <w:rFonts w:ascii="Constantia" w:hAnsi="Constantia"/>
          <w:bCs/>
          <w:sz w:val="24"/>
          <w:szCs w:val="24"/>
        </w:rPr>
        <w:t>ibit</w:t>
      </w:r>
      <w:r w:rsidR="00347561" w:rsidRPr="00392158">
        <w:rPr>
          <w:rFonts w:ascii="Constantia" w:hAnsi="Constantia"/>
          <w:bCs/>
          <w:sz w:val="24"/>
          <w:szCs w:val="24"/>
        </w:rPr>
        <w:t xml:space="preserve"> D3</w:t>
      </w:r>
      <w:r w:rsidR="00347561" w:rsidRPr="00392158">
        <w:rPr>
          <w:rFonts w:ascii="Constantia" w:hAnsi="Constantia"/>
          <w:b/>
          <w:bCs/>
          <w:sz w:val="24"/>
          <w:szCs w:val="24"/>
        </w:rPr>
        <w:t xml:space="preserve"> </w:t>
      </w:r>
      <w:r w:rsidR="00347561" w:rsidRPr="00392158">
        <w:rPr>
          <w:rFonts w:ascii="Constantia" w:hAnsi="Constantia"/>
          <w:bCs/>
          <w:sz w:val="24"/>
          <w:szCs w:val="24"/>
        </w:rPr>
        <w:t>show</w:t>
      </w:r>
      <w:r w:rsidR="00071359">
        <w:rPr>
          <w:rFonts w:ascii="Constantia" w:hAnsi="Constantia"/>
          <w:bCs/>
          <w:sz w:val="24"/>
          <w:szCs w:val="24"/>
        </w:rPr>
        <w:t>ed</w:t>
      </w:r>
      <w:r w:rsidR="00347561" w:rsidRPr="00392158">
        <w:rPr>
          <w:rFonts w:ascii="Constantia" w:hAnsi="Constantia"/>
          <w:bCs/>
          <w:sz w:val="24"/>
          <w:szCs w:val="24"/>
        </w:rPr>
        <w:t xml:space="preserve"> that </w:t>
      </w:r>
      <w:r w:rsidR="00A25E95" w:rsidRPr="00392158">
        <w:rPr>
          <w:rFonts w:ascii="Constantia" w:hAnsi="Constantia"/>
          <w:bCs/>
          <w:sz w:val="24"/>
          <w:szCs w:val="24"/>
        </w:rPr>
        <w:t xml:space="preserve">Kyadondo Block 236 </w:t>
      </w:r>
      <w:r w:rsidR="00347561" w:rsidRPr="00392158">
        <w:rPr>
          <w:rFonts w:ascii="Constantia" w:hAnsi="Constantia"/>
          <w:bCs/>
          <w:sz w:val="24"/>
          <w:szCs w:val="24"/>
        </w:rPr>
        <w:t>plot 63 was previously described as MRV 1361 folio 20</w:t>
      </w:r>
      <w:r w:rsidR="00A25E95" w:rsidRPr="00392158">
        <w:rPr>
          <w:rFonts w:ascii="Constantia" w:hAnsi="Constantia"/>
          <w:bCs/>
          <w:sz w:val="24"/>
          <w:szCs w:val="24"/>
        </w:rPr>
        <w:t xml:space="preserve"> and was in existence as at 1955.  The </w:t>
      </w:r>
      <w:r w:rsidR="00392158" w:rsidRPr="00392158">
        <w:rPr>
          <w:rFonts w:ascii="Constantia" w:hAnsi="Constantia"/>
          <w:bCs/>
          <w:sz w:val="24"/>
          <w:szCs w:val="24"/>
        </w:rPr>
        <w:t xml:space="preserve">defence contended that DW4 had relied on </w:t>
      </w:r>
      <w:r w:rsidR="00A25E95" w:rsidRPr="00392158">
        <w:rPr>
          <w:rFonts w:ascii="Constantia" w:hAnsi="Constantia"/>
          <w:bCs/>
          <w:sz w:val="24"/>
          <w:szCs w:val="24"/>
        </w:rPr>
        <w:t xml:space="preserve">‘Supplementary instructions to survey’ </w:t>
      </w:r>
      <w:r w:rsidR="00392158" w:rsidRPr="00392158">
        <w:rPr>
          <w:rFonts w:ascii="Constantia" w:hAnsi="Constantia"/>
          <w:bCs/>
          <w:sz w:val="24"/>
          <w:szCs w:val="24"/>
        </w:rPr>
        <w:t>dated 24</w:t>
      </w:r>
      <w:r w:rsidR="00392158" w:rsidRPr="00392158">
        <w:rPr>
          <w:rFonts w:ascii="Constantia" w:hAnsi="Constantia"/>
          <w:bCs/>
          <w:sz w:val="24"/>
          <w:szCs w:val="24"/>
          <w:vertAlign w:val="superscript"/>
        </w:rPr>
        <w:t>th</w:t>
      </w:r>
      <w:r w:rsidR="00392158" w:rsidRPr="00392158">
        <w:rPr>
          <w:rFonts w:ascii="Constantia" w:hAnsi="Constantia"/>
          <w:bCs/>
          <w:sz w:val="24"/>
          <w:szCs w:val="24"/>
        </w:rPr>
        <w:t xml:space="preserve"> July 1953 and other </w:t>
      </w:r>
      <w:r w:rsidR="00A25E95" w:rsidRPr="00392158">
        <w:rPr>
          <w:rFonts w:ascii="Constantia" w:hAnsi="Constantia"/>
          <w:bCs/>
          <w:sz w:val="24"/>
          <w:szCs w:val="24"/>
        </w:rPr>
        <w:t xml:space="preserve">records from Entebbe Survey Dept to cancel plot 28.  </w:t>
      </w:r>
      <w:r w:rsidR="00392158" w:rsidRPr="00392158">
        <w:rPr>
          <w:rFonts w:ascii="Constantia" w:hAnsi="Constantia"/>
          <w:bCs/>
          <w:sz w:val="24"/>
          <w:szCs w:val="24"/>
        </w:rPr>
        <w:t>A</w:t>
      </w:r>
      <w:r w:rsidR="00A25E95" w:rsidRPr="00392158">
        <w:rPr>
          <w:rFonts w:ascii="Constantia" w:hAnsi="Constantia"/>
          <w:bCs/>
          <w:sz w:val="24"/>
          <w:szCs w:val="24"/>
        </w:rPr>
        <w:t xml:space="preserve"> certified copy of</w:t>
      </w:r>
      <w:r w:rsidR="00392158" w:rsidRPr="00392158">
        <w:rPr>
          <w:rFonts w:ascii="Constantia" w:hAnsi="Constantia"/>
          <w:bCs/>
          <w:sz w:val="24"/>
          <w:szCs w:val="24"/>
        </w:rPr>
        <w:t xml:space="preserve"> those records was admitted on the record as </w:t>
      </w:r>
      <w:r w:rsidR="00A25E95" w:rsidRPr="00392158">
        <w:rPr>
          <w:rFonts w:ascii="Constantia" w:hAnsi="Constantia"/>
          <w:bCs/>
          <w:sz w:val="24"/>
          <w:szCs w:val="24"/>
        </w:rPr>
        <w:t>Exh</w:t>
      </w:r>
      <w:r w:rsidR="00EF3451">
        <w:rPr>
          <w:rFonts w:ascii="Constantia" w:hAnsi="Constantia"/>
          <w:bCs/>
          <w:sz w:val="24"/>
          <w:szCs w:val="24"/>
        </w:rPr>
        <w:t>ibit</w:t>
      </w:r>
      <w:r w:rsidR="00A25E95" w:rsidRPr="00392158">
        <w:rPr>
          <w:rFonts w:ascii="Constantia" w:hAnsi="Constantia"/>
          <w:bCs/>
          <w:sz w:val="24"/>
          <w:szCs w:val="24"/>
        </w:rPr>
        <w:t xml:space="preserve"> D10</w:t>
      </w:r>
      <w:r w:rsidR="00392158" w:rsidRPr="00392158">
        <w:rPr>
          <w:rFonts w:ascii="Constantia" w:hAnsi="Constantia"/>
          <w:bCs/>
          <w:sz w:val="24"/>
          <w:szCs w:val="24"/>
        </w:rPr>
        <w:t xml:space="preserve">.  The defence contested the plaintiffs’ title as reflected in </w:t>
      </w:r>
      <w:r w:rsidR="00A25E95" w:rsidRPr="00392158">
        <w:rPr>
          <w:rFonts w:ascii="Constantia" w:hAnsi="Constantia"/>
          <w:bCs/>
          <w:sz w:val="24"/>
          <w:szCs w:val="24"/>
        </w:rPr>
        <w:t>Exh</w:t>
      </w:r>
      <w:r w:rsidR="00EF3451">
        <w:rPr>
          <w:rFonts w:ascii="Constantia" w:hAnsi="Constantia"/>
          <w:bCs/>
          <w:sz w:val="24"/>
          <w:szCs w:val="24"/>
        </w:rPr>
        <w:t>ibit</w:t>
      </w:r>
      <w:r w:rsidR="00A25E95" w:rsidRPr="00392158">
        <w:rPr>
          <w:rFonts w:ascii="Constantia" w:hAnsi="Constantia"/>
          <w:bCs/>
          <w:sz w:val="24"/>
          <w:szCs w:val="24"/>
        </w:rPr>
        <w:t xml:space="preserve"> P4</w:t>
      </w:r>
      <w:r w:rsidR="00392158" w:rsidRPr="00392158">
        <w:rPr>
          <w:rFonts w:ascii="Constantia" w:hAnsi="Constantia"/>
          <w:bCs/>
          <w:sz w:val="24"/>
          <w:szCs w:val="24"/>
        </w:rPr>
        <w:t>, arguing that it</w:t>
      </w:r>
      <w:r w:rsidR="00A25E95" w:rsidRPr="00392158">
        <w:rPr>
          <w:rFonts w:ascii="Constantia" w:hAnsi="Constantia"/>
          <w:bCs/>
          <w:sz w:val="24"/>
          <w:szCs w:val="24"/>
        </w:rPr>
        <w:t xml:space="preserve"> was not valid given that whereas it was </w:t>
      </w:r>
      <w:r w:rsidR="00392158" w:rsidRPr="00392158">
        <w:rPr>
          <w:rFonts w:ascii="Constantia" w:hAnsi="Constantia"/>
          <w:bCs/>
          <w:sz w:val="24"/>
          <w:szCs w:val="24"/>
        </w:rPr>
        <w:t xml:space="preserve">a title </w:t>
      </w:r>
      <w:r w:rsidR="00A25E95" w:rsidRPr="00392158">
        <w:rPr>
          <w:rFonts w:ascii="Constantia" w:hAnsi="Constantia"/>
          <w:bCs/>
          <w:sz w:val="24"/>
          <w:szCs w:val="24"/>
        </w:rPr>
        <w:t>in respect of plot 28</w:t>
      </w:r>
      <w:r w:rsidR="00392158" w:rsidRPr="00392158">
        <w:rPr>
          <w:rFonts w:ascii="Constantia" w:hAnsi="Constantia"/>
          <w:bCs/>
          <w:sz w:val="24"/>
          <w:szCs w:val="24"/>
        </w:rPr>
        <w:t>,</w:t>
      </w:r>
      <w:r w:rsidR="00A25E95" w:rsidRPr="00392158">
        <w:rPr>
          <w:rFonts w:ascii="Constantia" w:hAnsi="Constantia"/>
          <w:bCs/>
          <w:sz w:val="24"/>
          <w:szCs w:val="24"/>
        </w:rPr>
        <w:t xml:space="preserve"> the print attached thereto was in respect of plot 33</w:t>
      </w:r>
      <w:r w:rsidR="00A25E95" w:rsidRPr="00EE0B1A">
        <w:rPr>
          <w:rFonts w:ascii="Constantia" w:hAnsi="Constantia"/>
          <w:bCs/>
          <w:sz w:val="24"/>
          <w:szCs w:val="24"/>
        </w:rPr>
        <w:t>.</w:t>
      </w:r>
      <w:r w:rsidR="00392158" w:rsidRPr="00EE0B1A">
        <w:rPr>
          <w:rFonts w:ascii="Constantia" w:hAnsi="Constantia"/>
          <w:b/>
          <w:bCs/>
          <w:sz w:val="24"/>
          <w:szCs w:val="24"/>
        </w:rPr>
        <w:t xml:space="preserve"> </w:t>
      </w:r>
      <w:r w:rsidR="008713D0" w:rsidRPr="00EE0B1A">
        <w:rPr>
          <w:rFonts w:ascii="Constantia" w:hAnsi="Constantia"/>
          <w:b/>
          <w:bCs/>
          <w:sz w:val="24"/>
          <w:szCs w:val="24"/>
        </w:rPr>
        <w:t xml:space="preserve"> </w:t>
      </w:r>
      <w:r w:rsidR="00071359" w:rsidRPr="00071359">
        <w:rPr>
          <w:rFonts w:ascii="Constantia" w:hAnsi="Constantia"/>
          <w:bCs/>
          <w:sz w:val="24"/>
          <w:szCs w:val="24"/>
        </w:rPr>
        <w:t>PW2, an officer from the Department of Land Registration</w:t>
      </w:r>
      <w:r w:rsidR="00071359">
        <w:rPr>
          <w:rFonts w:ascii="Constantia" w:hAnsi="Constantia"/>
          <w:bCs/>
          <w:sz w:val="24"/>
          <w:szCs w:val="24"/>
        </w:rPr>
        <w:t>,</w:t>
      </w:r>
      <w:r w:rsidR="00071359" w:rsidRPr="00071359">
        <w:rPr>
          <w:rFonts w:ascii="Constantia" w:hAnsi="Constantia"/>
          <w:bCs/>
          <w:sz w:val="24"/>
          <w:szCs w:val="24"/>
        </w:rPr>
        <w:t xml:space="preserve"> </w:t>
      </w:r>
      <w:r w:rsidR="00071359">
        <w:rPr>
          <w:rFonts w:ascii="Constantia" w:hAnsi="Constantia"/>
          <w:bCs/>
          <w:sz w:val="24"/>
          <w:szCs w:val="24"/>
        </w:rPr>
        <w:t xml:space="preserve">who would be knowledgeable on such matters </w:t>
      </w:r>
      <w:r w:rsidR="00071359" w:rsidRPr="00071359">
        <w:rPr>
          <w:rFonts w:ascii="Constantia" w:hAnsi="Constantia"/>
          <w:bCs/>
          <w:sz w:val="24"/>
          <w:szCs w:val="24"/>
        </w:rPr>
        <w:t>had advanced the position that a print attached to a title must match with the description on land in the title for such title to be valid.</w:t>
      </w:r>
      <w:r w:rsidR="00071359">
        <w:rPr>
          <w:rFonts w:ascii="Constantia" w:hAnsi="Constantia"/>
          <w:b/>
          <w:bCs/>
          <w:sz w:val="24"/>
          <w:szCs w:val="24"/>
        </w:rPr>
        <w:t xml:space="preserve">  </w:t>
      </w:r>
      <w:r w:rsidR="00EE0B1A" w:rsidRPr="00EE0B1A">
        <w:rPr>
          <w:rFonts w:ascii="Constantia" w:hAnsi="Constantia"/>
          <w:bCs/>
          <w:sz w:val="24"/>
          <w:szCs w:val="24"/>
        </w:rPr>
        <w:t>Learned defence counsel further argued that the</w:t>
      </w:r>
      <w:r w:rsidR="00EE0B1A" w:rsidRPr="00EE0B1A">
        <w:rPr>
          <w:rFonts w:ascii="Constantia" w:hAnsi="Constantia"/>
          <w:b/>
          <w:bCs/>
          <w:sz w:val="24"/>
          <w:szCs w:val="24"/>
        </w:rPr>
        <w:t xml:space="preserve"> </w:t>
      </w:r>
      <w:r w:rsidR="00392158" w:rsidRPr="00392158">
        <w:rPr>
          <w:rFonts w:ascii="Constantia" w:hAnsi="Constantia"/>
          <w:bCs/>
          <w:sz w:val="24"/>
          <w:szCs w:val="24"/>
        </w:rPr>
        <w:t xml:space="preserve">transfer deed </w:t>
      </w:r>
      <w:r w:rsidR="00EE0B1A">
        <w:rPr>
          <w:rFonts w:ascii="Constantia" w:hAnsi="Constantia"/>
          <w:bCs/>
          <w:sz w:val="24"/>
          <w:szCs w:val="24"/>
        </w:rPr>
        <w:t xml:space="preserve">presented by the plaintiffs was </w:t>
      </w:r>
      <w:r w:rsidR="00392158" w:rsidRPr="00392158">
        <w:rPr>
          <w:rFonts w:ascii="Constantia" w:hAnsi="Constantia"/>
          <w:bCs/>
          <w:sz w:val="24"/>
          <w:szCs w:val="24"/>
        </w:rPr>
        <w:t>not signed</w:t>
      </w:r>
      <w:r w:rsidR="00EE0B1A">
        <w:rPr>
          <w:rFonts w:ascii="Constantia" w:hAnsi="Constantia"/>
          <w:bCs/>
          <w:sz w:val="24"/>
          <w:szCs w:val="24"/>
        </w:rPr>
        <w:t xml:space="preserve"> and was therefore </w:t>
      </w:r>
      <w:r w:rsidR="00392158" w:rsidRPr="00392158">
        <w:rPr>
          <w:rFonts w:ascii="Constantia" w:hAnsi="Constantia"/>
          <w:bCs/>
          <w:sz w:val="24"/>
          <w:szCs w:val="24"/>
        </w:rPr>
        <w:t xml:space="preserve">a nullity as per sections 147 </w:t>
      </w:r>
      <w:r w:rsidR="00EE0B1A">
        <w:rPr>
          <w:rFonts w:ascii="Constantia" w:hAnsi="Constantia"/>
          <w:bCs/>
          <w:sz w:val="24"/>
          <w:szCs w:val="24"/>
        </w:rPr>
        <w:t>and 1</w:t>
      </w:r>
      <w:r w:rsidR="00392158" w:rsidRPr="00392158">
        <w:rPr>
          <w:rFonts w:ascii="Constantia" w:hAnsi="Constantia"/>
          <w:bCs/>
          <w:sz w:val="24"/>
          <w:szCs w:val="24"/>
        </w:rPr>
        <w:t>48 of RTA, a</w:t>
      </w:r>
      <w:r w:rsidR="00EE0B1A">
        <w:rPr>
          <w:rFonts w:ascii="Constantia" w:hAnsi="Constantia"/>
          <w:bCs/>
          <w:sz w:val="24"/>
          <w:szCs w:val="24"/>
        </w:rPr>
        <w:t xml:space="preserve">s well as the decision in </w:t>
      </w:r>
      <w:r w:rsidR="00392158" w:rsidRPr="00EE0B1A">
        <w:rPr>
          <w:rFonts w:ascii="Constantia" w:hAnsi="Constantia"/>
          <w:b/>
          <w:bCs/>
          <w:sz w:val="24"/>
          <w:szCs w:val="24"/>
          <w:u w:val="single"/>
        </w:rPr>
        <w:t>Zaabwe vs. Orient Bank SCCA No. 4 of 2006</w:t>
      </w:r>
      <w:r w:rsidR="00392158" w:rsidRPr="00392158">
        <w:rPr>
          <w:rFonts w:ascii="Constantia" w:hAnsi="Constantia"/>
          <w:bCs/>
          <w:sz w:val="24"/>
          <w:szCs w:val="24"/>
        </w:rPr>
        <w:t>.</w:t>
      </w:r>
      <w:r w:rsidR="00FE07A6">
        <w:rPr>
          <w:rFonts w:ascii="Constantia" w:hAnsi="Constantia"/>
          <w:bCs/>
          <w:sz w:val="24"/>
          <w:szCs w:val="24"/>
        </w:rPr>
        <w:t xml:space="preserve">   </w:t>
      </w:r>
    </w:p>
    <w:p w:rsidR="00C2239D" w:rsidRDefault="00FE07A6" w:rsidP="0031152A">
      <w:pPr>
        <w:jc w:val="both"/>
        <w:rPr>
          <w:rFonts w:ascii="Constantia" w:hAnsi="Constantia"/>
          <w:bCs/>
          <w:sz w:val="24"/>
          <w:szCs w:val="24"/>
        </w:rPr>
      </w:pPr>
      <w:r>
        <w:rPr>
          <w:rFonts w:ascii="Constantia" w:hAnsi="Constantia"/>
          <w:bCs/>
          <w:sz w:val="24"/>
          <w:szCs w:val="24"/>
        </w:rPr>
        <w:t xml:space="preserve">I have carefully evaluated the evidence on record and considered the submissions of both counsel.  I find that the sale agreements attached to Exhibit P2 clearly establish that Kezeroni Kasenya did sale some land to Yonasani Were.  </w:t>
      </w:r>
      <w:r w:rsidR="0022651C">
        <w:rPr>
          <w:rFonts w:ascii="Constantia" w:hAnsi="Constantia"/>
          <w:bCs/>
          <w:sz w:val="24"/>
          <w:szCs w:val="24"/>
        </w:rPr>
        <w:t xml:space="preserve">Be that as it may, </w:t>
      </w:r>
      <w:r>
        <w:rPr>
          <w:rFonts w:ascii="Constantia" w:hAnsi="Constantia"/>
          <w:bCs/>
          <w:sz w:val="24"/>
          <w:szCs w:val="24"/>
        </w:rPr>
        <w:t xml:space="preserve">this court </w:t>
      </w:r>
      <w:r w:rsidR="0022651C">
        <w:rPr>
          <w:rFonts w:ascii="Constantia" w:hAnsi="Constantia"/>
          <w:bCs/>
          <w:sz w:val="24"/>
          <w:szCs w:val="24"/>
        </w:rPr>
        <w:t>find</w:t>
      </w:r>
      <w:r>
        <w:rPr>
          <w:rFonts w:ascii="Constantia" w:hAnsi="Constantia"/>
          <w:bCs/>
          <w:sz w:val="24"/>
          <w:szCs w:val="24"/>
        </w:rPr>
        <w:t>s</w:t>
      </w:r>
      <w:r w:rsidR="0022651C">
        <w:rPr>
          <w:rFonts w:ascii="Constantia" w:hAnsi="Constantia"/>
          <w:bCs/>
          <w:sz w:val="24"/>
          <w:szCs w:val="24"/>
        </w:rPr>
        <w:t xml:space="preserve"> </w:t>
      </w:r>
      <w:r w:rsidR="00FE79C6">
        <w:rPr>
          <w:rFonts w:ascii="Constantia" w:hAnsi="Constantia"/>
          <w:bCs/>
          <w:sz w:val="24"/>
          <w:szCs w:val="24"/>
        </w:rPr>
        <w:t>PW2</w:t>
      </w:r>
      <w:r w:rsidR="0022651C">
        <w:rPr>
          <w:rFonts w:ascii="Constantia" w:hAnsi="Constantia"/>
          <w:bCs/>
          <w:sz w:val="24"/>
          <w:szCs w:val="24"/>
        </w:rPr>
        <w:t>’s</w:t>
      </w:r>
      <w:r w:rsidR="00FE79C6">
        <w:rPr>
          <w:rFonts w:ascii="Constantia" w:hAnsi="Constantia"/>
          <w:bCs/>
          <w:sz w:val="24"/>
          <w:szCs w:val="24"/>
        </w:rPr>
        <w:t xml:space="preserve"> evidence </w:t>
      </w:r>
      <w:r w:rsidR="0022651C">
        <w:rPr>
          <w:rFonts w:ascii="Constantia" w:hAnsi="Constantia"/>
          <w:bCs/>
          <w:sz w:val="24"/>
          <w:szCs w:val="24"/>
        </w:rPr>
        <w:t xml:space="preserve">on the allegedly wrongful </w:t>
      </w:r>
      <w:r w:rsidR="00FE79C6">
        <w:rPr>
          <w:rFonts w:ascii="Constantia" w:hAnsi="Constantia"/>
          <w:bCs/>
          <w:sz w:val="24"/>
          <w:szCs w:val="24"/>
        </w:rPr>
        <w:t xml:space="preserve">cancellation of plot 28 </w:t>
      </w:r>
      <w:r w:rsidR="0022651C">
        <w:rPr>
          <w:rFonts w:ascii="Constantia" w:hAnsi="Constantia"/>
          <w:bCs/>
          <w:sz w:val="24"/>
          <w:szCs w:val="24"/>
        </w:rPr>
        <w:t>erroneous</w:t>
      </w:r>
      <w:r w:rsidR="00FE79C6">
        <w:rPr>
          <w:rFonts w:ascii="Constantia" w:hAnsi="Constantia"/>
          <w:bCs/>
          <w:sz w:val="24"/>
          <w:szCs w:val="24"/>
        </w:rPr>
        <w:t xml:space="preserve"> and misleading.  </w:t>
      </w:r>
      <w:r w:rsidR="0031152A">
        <w:rPr>
          <w:rFonts w:ascii="Constantia" w:hAnsi="Constantia"/>
          <w:bCs/>
          <w:sz w:val="24"/>
          <w:szCs w:val="24"/>
        </w:rPr>
        <w:t>First, p</w:t>
      </w:r>
      <w:r w:rsidR="00FE79C6">
        <w:rPr>
          <w:rFonts w:ascii="Constantia" w:hAnsi="Constantia"/>
          <w:bCs/>
          <w:sz w:val="24"/>
          <w:szCs w:val="24"/>
        </w:rPr>
        <w:t>lots 61, 62 and 63 were never subdivided from plot 28 as testified by PW2</w:t>
      </w:r>
      <w:r w:rsidR="00B06CD6">
        <w:rPr>
          <w:rFonts w:ascii="Constantia" w:hAnsi="Constantia"/>
          <w:bCs/>
          <w:sz w:val="24"/>
          <w:szCs w:val="24"/>
        </w:rPr>
        <w:t xml:space="preserve">; neither were the 3 plots sub-divided under the same instrument number, nor </w:t>
      </w:r>
      <w:r w:rsidR="003216DD">
        <w:rPr>
          <w:rFonts w:ascii="Constantia" w:hAnsi="Constantia"/>
          <w:bCs/>
          <w:sz w:val="24"/>
          <w:szCs w:val="24"/>
        </w:rPr>
        <w:t xml:space="preserve">did </w:t>
      </w:r>
      <w:r w:rsidR="00FE79C6">
        <w:rPr>
          <w:rFonts w:ascii="Constantia" w:hAnsi="Constantia"/>
          <w:bCs/>
          <w:sz w:val="24"/>
          <w:szCs w:val="24"/>
        </w:rPr>
        <w:t>DW4 create the defendants’ title</w:t>
      </w:r>
      <w:r w:rsidR="003216DD">
        <w:rPr>
          <w:rFonts w:ascii="Constantia" w:hAnsi="Constantia"/>
          <w:bCs/>
          <w:sz w:val="24"/>
          <w:szCs w:val="24"/>
        </w:rPr>
        <w:t xml:space="preserve"> to plot 63 using Instrument No. </w:t>
      </w:r>
      <w:r w:rsidR="003216DD" w:rsidRPr="003216DD">
        <w:rPr>
          <w:rFonts w:ascii="Constantia" w:hAnsi="Constantia"/>
          <w:bCs/>
          <w:sz w:val="24"/>
          <w:szCs w:val="24"/>
        </w:rPr>
        <w:t>128355</w:t>
      </w:r>
      <w:r w:rsidR="003216DD">
        <w:rPr>
          <w:rFonts w:ascii="Constantia" w:hAnsi="Constantia"/>
          <w:bCs/>
          <w:sz w:val="24"/>
          <w:szCs w:val="24"/>
        </w:rPr>
        <w:t>.  The evidence on record was that</w:t>
      </w:r>
      <w:r w:rsidR="003216DD" w:rsidRPr="003216DD">
        <w:rPr>
          <w:rFonts w:ascii="Constantia" w:hAnsi="Constantia"/>
          <w:bCs/>
          <w:sz w:val="24"/>
          <w:szCs w:val="24"/>
        </w:rPr>
        <w:t xml:space="preserve"> </w:t>
      </w:r>
      <w:r w:rsidR="003216DD">
        <w:rPr>
          <w:rFonts w:ascii="Constantia" w:hAnsi="Constantia"/>
          <w:bCs/>
          <w:sz w:val="24"/>
          <w:szCs w:val="24"/>
        </w:rPr>
        <w:t xml:space="preserve">only plots 62 </w:t>
      </w:r>
      <w:r w:rsidR="007951BA">
        <w:rPr>
          <w:rFonts w:ascii="Constantia" w:hAnsi="Constantia"/>
          <w:bCs/>
          <w:sz w:val="24"/>
          <w:szCs w:val="24"/>
        </w:rPr>
        <w:t>and</w:t>
      </w:r>
      <w:r w:rsidR="003216DD">
        <w:rPr>
          <w:rFonts w:ascii="Constantia" w:hAnsi="Constantia"/>
          <w:bCs/>
          <w:sz w:val="24"/>
          <w:szCs w:val="24"/>
        </w:rPr>
        <w:t xml:space="preserve"> 63 were subdivided from plot 28</w:t>
      </w:r>
      <w:r w:rsidR="001F07C9">
        <w:rPr>
          <w:rFonts w:ascii="Constantia" w:hAnsi="Constantia"/>
          <w:bCs/>
          <w:sz w:val="24"/>
          <w:szCs w:val="24"/>
        </w:rPr>
        <w:t>; p</w:t>
      </w:r>
      <w:r w:rsidR="003216DD">
        <w:rPr>
          <w:rFonts w:ascii="Constantia" w:hAnsi="Constantia"/>
          <w:bCs/>
          <w:sz w:val="24"/>
          <w:szCs w:val="24"/>
        </w:rPr>
        <w:t xml:space="preserve">lot 61 </w:t>
      </w:r>
      <w:r w:rsidR="001F07C9">
        <w:rPr>
          <w:rFonts w:ascii="Constantia" w:hAnsi="Constantia"/>
          <w:bCs/>
          <w:sz w:val="24"/>
          <w:szCs w:val="24"/>
        </w:rPr>
        <w:t>had been</w:t>
      </w:r>
      <w:r w:rsidR="003216DD">
        <w:rPr>
          <w:rFonts w:ascii="Constantia" w:hAnsi="Constantia"/>
          <w:bCs/>
          <w:sz w:val="24"/>
          <w:szCs w:val="24"/>
        </w:rPr>
        <w:t xml:space="preserve"> demarcated from MRV 1361 folio 23 by Instrument No. 128354.  This is clearly depicted in </w:t>
      </w:r>
      <w:r w:rsidR="003216DD" w:rsidRPr="003216DD">
        <w:rPr>
          <w:rFonts w:ascii="Constantia" w:hAnsi="Constantia"/>
          <w:bCs/>
          <w:sz w:val="24"/>
          <w:szCs w:val="24"/>
        </w:rPr>
        <w:t>Exh</w:t>
      </w:r>
      <w:r w:rsidR="00EF3451">
        <w:rPr>
          <w:rFonts w:ascii="Constantia" w:hAnsi="Constantia"/>
          <w:bCs/>
          <w:sz w:val="24"/>
          <w:szCs w:val="24"/>
        </w:rPr>
        <w:t>ibit</w:t>
      </w:r>
      <w:r w:rsidR="003216DD" w:rsidRPr="003216DD">
        <w:rPr>
          <w:rFonts w:ascii="Constantia" w:hAnsi="Constantia"/>
          <w:bCs/>
          <w:sz w:val="24"/>
          <w:szCs w:val="24"/>
        </w:rPr>
        <w:t xml:space="preserve"> P7.</w:t>
      </w:r>
      <w:r w:rsidR="003216DD">
        <w:rPr>
          <w:rFonts w:ascii="Constantia" w:hAnsi="Constantia"/>
          <w:b/>
          <w:bCs/>
          <w:sz w:val="24"/>
          <w:szCs w:val="24"/>
        </w:rPr>
        <w:t xml:space="preserve">  </w:t>
      </w:r>
      <w:r w:rsidR="003216DD" w:rsidRPr="003216DD">
        <w:rPr>
          <w:rFonts w:ascii="Constantia" w:hAnsi="Constantia"/>
          <w:bCs/>
          <w:sz w:val="24"/>
          <w:szCs w:val="24"/>
        </w:rPr>
        <w:t>On the other hand,</w:t>
      </w:r>
      <w:r w:rsidR="0031152A">
        <w:rPr>
          <w:rFonts w:ascii="Constantia" w:hAnsi="Constantia"/>
          <w:bCs/>
          <w:sz w:val="24"/>
          <w:szCs w:val="24"/>
        </w:rPr>
        <w:t xml:space="preserve"> plots 62 </w:t>
      </w:r>
      <w:r w:rsidR="007951BA">
        <w:rPr>
          <w:rFonts w:ascii="Constantia" w:hAnsi="Constantia"/>
          <w:bCs/>
          <w:sz w:val="24"/>
          <w:szCs w:val="24"/>
        </w:rPr>
        <w:t>and</w:t>
      </w:r>
      <w:r w:rsidR="0031152A">
        <w:rPr>
          <w:rFonts w:ascii="Constantia" w:hAnsi="Constantia"/>
          <w:bCs/>
          <w:sz w:val="24"/>
          <w:szCs w:val="24"/>
        </w:rPr>
        <w:t xml:space="preserve"> 63 were created under Instrument No. 128355.</w:t>
      </w:r>
      <w:r w:rsidR="003216DD" w:rsidRPr="003216DD">
        <w:rPr>
          <w:rFonts w:ascii="Constantia" w:hAnsi="Constantia"/>
          <w:bCs/>
          <w:sz w:val="24"/>
          <w:szCs w:val="24"/>
        </w:rPr>
        <w:t xml:space="preserve"> </w:t>
      </w:r>
      <w:r w:rsidR="0031152A">
        <w:rPr>
          <w:rFonts w:ascii="Constantia" w:hAnsi="Constantia"/>
          <w:bCs/>
          <w:sz w:val="24"/>
          <w:szCs w:val="24"/>
        </w:rPr>
        <w:t xml:space="preserve"> That instrument (No. 128355) created </w:t>
      </w:r>
      <w:r w:rsidR="0031152A" w:rsidRPr="00EF62DD">
        <w:rPr>
          <w:rFonts w:ascii="Constantia" w:hAnsi="Constantia"/>
          <w:b/>
          <w:bCs/>
          <w:i/>
          <w:sz w:val="24"/>
          <w:szCs w:val="24"/>
        </w:rPr>
        <w:t>both</w:t>
      </w:r>
      <w:r w:rsidR="0031152A">
        <w:rPr>
          <w:rFonts w:ascii="Constantia" w:hAnsi="Constantia"/>
          <w:bCs/>
          <w:sz w:val="24"/>
          <w:szCs w:val="24"/>
        </w:rPr>
        <w:t xml:space="preserve"> plots 62 </w:t>
      </w:r>
      <w:r w:rsidR="007951BA">
        <w:rPr>
          <w:rFonts w:ascii="Constantia" w:hAnsi="Constantia"/>
          <w:bCs/>
          <w:sz w:val="24"/>
          <w:szCs w:val="24"/>
        </w:rPr>
        <w:t xml:space="preserve">and </w:t>
      </w:r>
      <w:r w:rsidR="0031152A">
        <w:rPr>
          <w:rFonts w:ascii="Constantia" w:hAnsi="Constantia"/>
          <w:bCs/>
          <w:sz w:val="24"/>
          <w:szCs w:val="24"/>
        </w:rPr>
        <w:t xml:space="preserve">63 from MRV 1361 folio 20 on the one hand, </w:t>
      </w:r>
      <w:r w:rsidR="0031152A" w:rsidRPr="0031152A">
        <w:rPr>
          <w:rFonts w:ascii="Constantia" w:hAnsi="Constantia"/>
          <w:b/>
          <w:bCs/>
          <w:sz w:val="24"/>
          <w:szCs w:val="24"/>
        </w:rPr>
        <w:t>and</w:t>
      </w:r>
      <w:r w:rsidR="0031152A">
        <w:rPr>
          <w:rFonts w:ascii="Constantia" w:hAnsi="Constantia"/>
          <w:bCs/>
          <w:sz w:val="24"/>
          <w:szCs w:val="24"/>
        </w:rPr>
        <w:t xml:space="preserve"> plot 112 from MRV 1361 folio 24.  </w:t>
      </w:r>
      <w:r w:rsidR="00B06CD6">
        <w:rPr>
          <w:rFonts w:ascii="Constantia" w:hAnsi="Constantia"/>
          <w:bCs/>
          <w:sz w:val="24"/>
          <w:szCs w:val="24"/>
        </w:rPr>
        <w:t xml:space="preserve">PW2 </w:t>
      </w:r>
      <w:r w:rsidR="00C2239D">
        <w:rPr>
          <w:rFonts w:ascii="Constantia" w:hAnsi="Constantia"/>
          <w:bCs/>
          <w:sz w:val="24"/>
          <w:szCs w:val="24"/>
        </w:rPr>
        <w:t>testified that using the same instrument number for different transactions was an anomaly.  He thus faulted DW4 for relying on what in his view were erroneous transactions under Instrument No. 128355 to cancel plot 28.</w:t>
      </w:r>
      <w:r w:rsidR="00245471">
        <w:rPr>
          <w:rFonts w:ascii="Constantia" w:hAnsi="Constantia"/>
          <w:bCs/>
          <w:sz w:val="24"/>
          <w:szCs w:val="24"/>
        </w:rPr>
        <w:t xml:space="preserve">  This court disagrees with this position for the reasons outlined below.</w:t>
      </w:r>
    </w:p>
    <w:p w:rsidR="001C59B8" w:rsidRDefault="00245471" w:rsidP="001C59B8">
      <w:pPr>
        <w:jc w:val="both"/>
        <w:rPr>
          <w:rFonts w:ascii="Constantia" w:hAnsi="Constantia"/>
          <w:bCs/>
          <w:sz w:val="24"/>
          <w:szCs w:val="24"/>
        </w:rPr>
      </w:pPr>
      <w:r>
        <w:rPr>
          <w:rFonts w:ascii="Constantia" w:hAnsi="Constantia"/>
          <w:bCs/>
          <w:sz w:val="24"/>
          <w:szCs w:val="24"/>
        </w:rPr>
        <w:t xml:space="preserve">The </w:t>
      </w:r>
      <w:r w:rsidR="001C59B8">
        <w:rPr>
          <w:rFonts w:ascii="Constantia" w:hAnsi="Constantia"/>
          <w:bCs/>
          <w:sz w:val="24"/>
          <w:szCs w:val="24"/>
        </w:rPr>
        <w:t>evidence on record is that plots 62 and 63 were indeed subdivided from plot 28.  PW2 conceded as much in re-examination, stating that a circle and a crossing in the prints attached to certificates of title signified that the circled and crossed plot had been sub-divided.  He then confirmed that in the print attached to Exh</w:t>
      </w:r>
      <w:r w:rsidR="00EF3451">
        <w:rPr>
          <w:rFonts w:ascii="Constantia" w:hAnsi="Constantia"/>
          <w:bCs/>
          <w:sz w:val="24"/>
          <w:szCs w:val="24"/>
        </w:rPr>
        <w:t>ibit</w:t>
      </w:r>
      <w:r w:rsidR="001C59B8">
        <w:rPr>
          <w:rFonts w:ascii="Constantia" w:hAnsi="Constantia"/>
          <w:bCs/>
          <w:sz w:val="24"/>
          <w:szCs w:val="24"/>
        </w:rPr>
        <w:t xml:space="preserve"> P7</w:t>
      </w:r>
      <w:r w:rsidR="00B53584">
        <w:rPr>
          <w:rFonts w:ascii="Constantia" w:hAnsi="Constantia"/>
          <w:bCs/>
          <w:sz w:val="24"/>
          <w:szCs w:val="24"/>
        </w:rPr>
        <w:t xml:space="preserve"> plot 28 was encircled </w:t>
      </w:r>
      <w:r w:rsidR="00B53584">
        <w:rPr>
          <w:rFonts w:ascii="Constantia" w:hAnsi="Constantia"/>
          <w:bCs/>
          <w:sz w:val="24"/>
          <w:szCs w:val="24"/>
        </w:rPr>
        <w:lastRenderedPageBreak/>
        <w:t xml:space="preserve">and crossed.  This court did also observe the encirclement and crossing attested to.  Exhibit P7 did depict plots 62 and 63 as having been the end-result of the sub-division.  Further, the micro-film records that were adduced in evidence as Exhibit D3 did </w:t>
      </w:r>
      <w:permStart w:id="2" w:edGrp="everyone"/>
      <w:permEnd w:id="2"/>
      <w:r w:rsidR="00B53584">
        <w:rPr>
          <w:rFonts w:ascii="Constantia" w:hAnsi="Constantia"/>
          <w:bCs/>
          <w:sz w:val="24"/>
          <w:szCs w:val="24"/>
        </w:rPr>
        <w:t xml:space="preserve">point to the valid existence of plot 63 way back in </w:t>
      </w:r>
      <w:r w:rsidR="000E593D">
        <w:rPr>
          <w:rFonts w:ascii="Constantia" w:hAnsi="Constantia"/>
          <w:bCs/>
          <w:sz w:val="24"/>
          <w:szCs w:val="24"/>
        </w:rPr>
        <w:t xml:space="preserve">February </w:t>
      </w:r>
      <w:r w:rsidR="00B53584">
        <w:rPr>
          <w:rFonts w:ascii="Constantia" w:hAnsi="Constantia"/>
          <w:bCs/>
          <w:sz w:val="24"/>
          <w:szCs w:val="24"/>
        </w:rPr>
        <w:t>1955.  Microfilms were described by DW</w:t>
      </w:r>
      <w:r w:rsidR="00CF30E4">
        <w:rPr>
          <w:rFonts w:ascii="Constantia" w:hAnsi="Constantia"/>
          <w:bCs/>
          <w:sz w:val="24"/>
          <w:szCs w:val="24"/>
        </w:rPr>
        <w:t>2</w:t>
      </w:r>
      <w:r w:rsidR="00B53584">
        <w:rPr>
          <w:rFonts w:ascii="Constantia" w:hAnsi="Constantia"/>
          <w:bCs/>
          <w:sz w:val="24"/>
          <w:szCs w:val="24"/>
        </w:rPr>
        <w:t xml:space="preserve"> as the photographing of certificates of title for longevity, testifying that that they </w:t>
      </w:r>
      <w:r w:rsidR="00D32CC2">
        <w:rPr>
          <w:rFonts w:ascii="Constantia" w:hAnsi="Constantia"/>
          <w:bCs/>
          <w:sz w:val="24"/>
          <w:szCs w:val="24"/>
        </w:rPr>
        <w:t>were last used i</w:t>
      </w:r>
      <w:r w:rsidR="00B53584">
        <w:rPr>
          <w:rFonts w:ascii="Constantia" w:hAnsi="Constantia"/>
          <w:bCs/>
          <w:sz w:val="24"/>
          <w:szCs w:val="24"/>
        </w:rPr>
        <w:t xml:space="preserve">n </w:t>
      </w:r>
      <w:r w:rsidR="00CF30E4">
        <w:rPr>
          <w:rFonts w:ascii="Constantia" w:hAnsi="Constantia"/>
          <w:bCs/>
          <w:sz w:val="24"/>
          <w:szCs w:val="24"/>
        </w:rPr>
        <w:t xml:space="preserve">the </w:t>
      </w:r>
      <w:r w:rsidR="00B53584">
        <w:rPr>
          <w:rFonts w:ascii="Constantia" w:hAnsi="Constantia"/>
          <w:bCs/>
          <w:sz w:val="24"/>
          <w:szCs w:val="24"/>
        </w:rPr>
        <w:t>19</w:t>
      </w:r>
      <w:r w:rsidR="00CF30E4">
        <w:rPr>
          <w:rFonts w:ascii="Constantia" w:hAnsi="Constantia"/>
          <w:bCs/>
          <w:sz w:val="24"/>
          <w:szCs w:val="24"/>
        </w:rPr>
        <w:t>60s.</w:t>
      </w:r>
      <w:r w:rsidR="00D32CC2">
        <w:rPr>
          <w:rFonts w:ascii="Constantia" w:hAnsi="Constantia"/>
          <w:bCs/>
          <w:sz w:val="24"/>
          <w:szCs w:val="24"/>
        </w:rPr>
        <w:t xml:space="preserve">  </w:t>
      </w:r>
      <w:r w:rsidR="00B53584">
        <w:rPr>
          <w:rFonts w:ascii="Constantia" w:hAnsi="Constantia"/>
          <w:bCs/>
          <w:sz w:val="24"/>
          <w:szCs w:val="24"/>
        </w:rPr>
        <w:t>PW2 conceded that they were valid documents but were no longer in use</w:t>
      </w:r>
      <w:r w:rsidR="00D32CC2">
        <w:rPr>
          <w:rFonts w:ascii="Constantia" w:hAnsi="Constantia"/>
          <w:bCs/>
          <w:sz w:val="24"/>
          <w:szCs w:val="24"/>
        </w:rPr>
        <w:t xml:space="preserve">.  </w:t>
      </w:r>
      <w:r w:rsidR="004D0CCC">
        <w:rPr>
          <w:rFonts w:ascii="Constantia" w:hAnsi="Constantia"/>
          <w:bCs/>
          <w:sz w:val="24"/>
          <w:szCs w:val="24"/>
        </w:rPr>
        <w:t xml:space="preserve">Therefore, </w:t>
      </w:r>
      <w:r>
        <w:rPr>
          <w:rFonts w:ascii="Constantia" w:hAnsi="Constantia"/>
          <w:bCs/>
          <w:sz w:val="24"/>
          <w:szCs w:val="24"/>
        </w:rPr>
        <w:t xml:space="preserve">I find </w:t>
      </w:r>
      <w:r w:rsidR="009F2496">
        <w:rPr>
          <w:rFonts w:ascii="Constantia" w:hAnsi="Constantia"/>
          <w:bCs/>
          <w:sz w:val="24"/>
          <w:szCs w:val="24"/>
        </w:rPr>
        <w:t>a</w:t>
      </w:r>
      <w:r>
        <w:rPr>
          <w:rFonts w:ascii="Constantia" w:hAnsi="Constantia"/>
          <w:bCs/>
          <w:sz w:val="24"/>
          <w:szCs w:val="24"/>
        </w:rPr>
        <w:t>mple</w:t>
      </w:r>
      <w:r w:rsidR="009F2496">
        <w:rPr>
          <w:rFonts w:ascii="Constantia" w:hAnsi="Constantia"/>
          <w:bCs/>
          <w:sz w:val="24"/>
          <w:szCs w:val="24"/>
        </w:rPr>
        <w:t xml:space="preserve"> evidence on record to support a </w:t>
      </w:r>
      <w:r>
        <w:rPr>
          <w:rFonts w:ascii="Constantia" w:hAnsi="Constantia"/>
          <w:bCs/>
          <w:sz w:val="24"/>
          <w:szCs w:val="24"/>
        </w:rPr>
        <w:t xml:space="preserve">conclusion that as of February 1955 </w:t>
      </w:r>
      <w:r w:rsidR="00D32CC2">
        <w:rPr>
          <w:rFonts w:ascii="Constantia" w:hAnsi="Constantia"/>
          <w:bCs/>
          <w:sz w:val="24"/>
          <w:szCs w:val="24"/>
        </w:rPr>
        <w:t xml:space="preserve">plots 62 and 63 had been sub-divided from plot 28 and the latter plot ceased to exist as </w:t>
      </w:r>
      <w:r>
        <w:rPr>
          <w:rFonts w:ascii="Constantia" w:hAnsi="Constantia"/>
          <w:bCs/>
          <w:sz w:val="24"/>
          <w:szCs w:val="24"/>
        </w:rPr>
        <w:t>was testified by DW4</w:t>
      </w:r>
      <w:r w:rsidR="00D32CC2">
        <w:rPr>
          <w:rFonts w:ascii="Constantia" w:hAnsi="Constantia"/>
          <w:bCs/>
          <w:sz w:val="24"/>
          <w:szCs w:val="24"/>
        </w:rPr>
        <w:t xml:space="preserve">.  </w:t>
      </w:r>
      <w:r w:rsidR="00B53584">
        <w:rPr>
          <w:rFonts w:ascii="Constantia" w:hAnsi="Constantia"/>
          <w:bCs/>
          <w:sz w:val="24"/>
          <w:szCs w:val="24"/>
        </w:rPr>
        <w:t xml:space="preserve">Accordingly, </w:t>
      </w:r>
      <w:r w:rsidR="00CF30E4">
        <w:rPr>
          <w:rFonts w:ascii="Constantia" w:hAnsi="Constantia"/>
          <w:bCs/>
          <w:sz w:val="24"/>
          <w:szCs w:val="24"/>
        </w:rPr>
        <w:t xml:space="preserve">I find that </w:t>
      </w:r>
      <w:r w:rsidR="001C59B8">
        <w:rPr>
          <w:rFonts w:ascii="Constantia" w:hAnsi="Constantia"/>
          <w:bCs/>
          <w:sz w:val="24"/>
          <w:szCs w:val="24"/>
        </w:rPr>
        <w:t xml:space="preserve">DW4 </w:t>
      </w:r>
      <w:r w:rsidR="00CF30E4">
        <w:rPr>
          <w:rFonts w:ascii="Constantia" w:hAnsi="Constantia"/>
          <w:bCs/>
          <w:sz w:val="24"/>
          <w:szCs w:val="24"/>
        </w:rPr>
        <w:t>was right</w:t>
      </w:r>
      <w:r w:rsidR="001C59B8">
        <w:rPr>
          <w:rFonts w:ascii="Constantia" w:hAnsi="Constantia"/>
          <w:bCs/>
          <w:sz w:val="24"/>
          <w:szCs w:val="24"/>
        </w:rPr>
        <w:t xml:space="preserve"> to cancel plot 28</w:t>
      </w:r>
      <w:r w:rsidR="000E593D">
        <w:rPr>
          <w:rFonts w:ascii="Constantia" w:hAnsi="Constantia"/>
          <w:bCs/>
          <w:sz w:val="24"/>
          <w:szCs w:val="24"/>
        </w:rPr>
        <w:t xml:space="preserve"> to avert duplicity of titles in respect of the same piece of land</w:t>
      </w:r>
      <w:r w:rsidR="001C59B8">
        <w:rPr>
          <w:rFonts w:ascii="Constantia" w:hAnsi="Constantia"/>
          <w:bCs/>
          <w:sz w:val="24"/>
          <w:szCs w:val="24"/>
        </w:rPr>
        <w:t>.</w:t>
      </w:r>
      <w:r w:rsidR="00D32CC2">
        <w:rPr>
          <w:rFonts w:ascii="Constantia" w:hAnsi="Constantia"/>
          <w:bCs/>
          <w:sz w:val="24"/>
          <w:szCs w:val="24"/>
        </w:rPr>
        <w:t xml:space="preserve">  It follows, the</w:t>
      </w:r>
      <w:r>
        <w:rPr>
          <w:rFonts w:ascii="Constantia" w:hAnsi="Constantia"/>
          <w:bCs/>
          <w:sz w:val="24"/>
          <w:szCs w:val="24"/>
        </w:rPr>
        <w:t>n</w:t>
      </w:r>
      <w:r w:rsidR="00D32CC2">
        <w:rPr>
          <w:rFonts w:ascii="Constantia" w:hAnsi="Constantia"/>
          <w:bCs/>
          <w:sz w:val="24"/>
          <w:szCs w:val="24"/>
        </w:rPr>
        <w:t>, that any certificate of title purportedly in respect of plot 28, such as was held by the first and second plaintiffs herein, was invalid.  I so hold.</w:t>
      </w:r>
    </w:p>
    <w:p w:rsidR="00AB5618" w:rsidRDefault="007E198E" w:rsidP="00AB5618">
      <w:pPr>
        <w:jc w:val="both"/>
        <w:rPr>
          <w:rFonts w:ascii="Constantia" w:hAnsi="Constantia"/>
          <w:sz w:val="24"/>
          <w:szCs w:val="24"/>
        </w:rPr>
      </w:pPr>
      <w:r>
        <w:rPr>
          <w:rFonts w:ascii="Constantia" w:hAnsi="Constantia"/>
          <w:bCs/>
          <w:sz w:val="24"/>
          <w:szCs w:val="24"/>
        </w:rPr>
        <w:t>In the final result, this</w:t>
      </w:r>
      <w:r w:rsidR="00AB5618">
        <w:rPr>
          <w:rFonts w:ascii="Constantia" w:hAnsi="Constantia"/>
          <w:sz w:val="24"/>
          <w:szCs w:val="24"/>
        </w:rPr>
        <w:t xml:space="preserve"> suit is </w:t>
      </w:r>
      <w:r>
        <w:rPr>
          <w:rFonts w:ascii="Constantia" w:hAnsi="Constantia"/>
          <w:sz w:val="24"/>
          <w:szCs w:val="24"/>
        </w:rPr>
        <w:t>hereby</w:t>
      </w:r>
      <w:r w:rsidR="00AB5618">
        <w:rPr>
          <w:rFonts w:ascii="Constantia" w:hAnsi="Constantia"/>
          <w:sz w:val="24"/>
          <w:szCs w:val="24"/>
        </w:rPr>
        <w:t xml:space="preserve"> dismissed with costs to the </w:t>
      </w:r>
      <w:r w:rsidR="0020327E">
        <w:rPr>
          <w:rFonts w:ascii="Constantia" w:hAnsi="Constantia"/>
          <w:sz w:val="24"/>
          <w:szCs w:val="24"/>
        </w:rPr>
        <w:t xml:space="preserve">first, second and third </w:t>
      </w:r>
      <w:r w:rsidR="00AB5618">
        <w:rPr>
          <w:rFonts w:ascii="Constantia" w:hAnsi="Constantia"/>
          <w:sz w:val="24"/>
          <w:szCs w:val="24"/>
        </w:rPr>
        <w:t>defendants.  It is so ordered.</w:t>
      </w:r>
    </w:p>
    <w:p w:rsidR="00CE0674" w:rsidRPr="00622465" w:rsidRDefault="00CE0674" w:rsidP="00AB5618">
      <w:pPr>
        <w:jc w:val="both"/>
        <w:rPr>
          <w:rFonts w:ascii="Constantia" w:hAnsi="Constantia"/>
          <w:sz w:val="24"/>
          <w:szCs w:val="24"/>
        </w:rPr>
      </w:pPr>
    </w:p>
    <w:p w:rsidR="00AB5618" w:rsidRPr="00622465" w:rsidRDefault="00CE0674" w:rsidP="00AB5618">
      <w:pPr>
        <w:jc w:val="both"/>
        <w:rPr>
          <w:rFonts w:ascii="Constantia" w:hAnsi="Constantia"/>
          <w:sz w:val="24"/>
          <w:szCs w:val="24"/>
        </w:rPr>
      </w:pPr>
      <w:r>
        <w:rPr>
          <w:rFonts w:ascii="Constantia" w:hAnsi="Constantia"/>
          <w:sz w:val="24"/>
          <w:szCs w:val="24"/>
        </w:rPr>
        <w:t xml:space="preserve"> </w:t>
      </w:r>
    </w:p>
    <w:p w:rsidR="008F1707" w:rsidRDefault="008F1707" w:rsidP="00195533">
      <w:pPr>
        <w:pStyle w:val="ListParagraph"/>
        <w:ind w:left="0"/>
        <w:jc w:val="both"/>
        <w:rPr>
          <w:rFonts w:ascii="Constantia" w:hAnsi="Constantia"/>
          <w:b/>
          <w:bCs/>
          <w:sz w:val="24"/>
          <w:szCs w:val="24"/>
        </w:rPr>
      </w:pPr>
    </w:p>
    <w:p w:rsidR="00195533" w:rsidRPr="005B5B0F" w:rsidRDefault="00195533" w:rsidP="00195533">
      <w:pPr>
        <w:pStyle w:val="ListParagraph"/>
        <w:ind w:left="0"/>
        <w:jc w:val="both"/>
        <w:rPr>
          <w:rFonts w:ascii="Constantia" w:hAnsi="Constantia"/>
          <w:b/>
          <w:sz w:val="24"/>
          <w:szCs w:val="24"/>
        </w:rPr>
      </w:pPr>
      <w:r w:rsidRPr="005B5B0F">
        <w:rPr>
          <w:rFonts w:ascii="Constantia" w:hAnsi="Constantia"/>
          <w:b/>
          <w:bCs/>
          <w:sz w:val="24"/>
          <w:szCs w:val="24"/>
        </w:rPr>
        <w:t>M</w:t>
      </w:r>
      <w:r>
        <w:rPr>
          <w:rFonts w:ascii="Constantia" w:hAnsi="Constantia"/>
          <w:b/>
          <w:bCs/>
          <w:sz w:val="24"/>
          <w:szCs w:val="24"/>
        </w:rPr>
        <w:t>onica</w:t>
      </w:r>
      <w:r w:rsidRPr="005B5B0F">
        <w:rPr>
          <w:rFonts w:ascii="Constantia" w:hAnsi="Constantia"/>
          <w:b/>
          <w:bCs/>
          <w:sz w:val="24"/>
          <w:szCs w:val="24"/>
        </w:rPr>
        <w:t xml:space="preserve"> K. M</w:t>
      </w:r>
      <w:r>
        <w:rPr>
          <w:rFonts w:ascii="Constantia" w:hAnsi="Constantia"/>
          <w:b/>
          <w:bCs/>
          <w:sz w:val="24"/>
          <w:szCs w:val="24"/>
        </w:rPr>
        <w:t>ugenyi</w:t>
      </w:r>
      <w:r w:rsidRPr="005B5B0F">
        <w:rPr>
          <w:rFonts w:ascii="Constantia" w:hAnsi="Constantia"/>
          <w:b/>
          <w:sz w:val="24"/>
          <w:szCs w:val="24"/>
        </w:rPr>
        <w:t xml:space="preserve"> </w:t>
      </w:r>
    </w:p>
    <w:p w:rsidR="00195533" w:rsidRPr="005B5B0F" w:rsidRDefault="00195533" w:rsidP="00195533">
      <w:pPr>
        <w:pStyle w:val="ListParagraph"/>
        <w:ind w:left="0"/>
        <w:jc w:val="both"/>
        <w:rPr>
          <w:rFonts w:ascii="Constantia" w:hAnsi="Constantia"/>
          <w:b/>
          <w:sz w:val="24"/>
          <w:szCs w:val="24"/>
          <w:u w:val="single"/>
        </w:rPr>
      </w:pPr>
      <w:r w:rsidRPr="005B5B0F">
        <w:rPr>
          <w:rFonts w:ascii="Constantia" w:hAnsi="Constantia"/>
          <w:b/>
          <w:sz w:val="24"/>
          <w:szCs w:val="24"/>
          <w:u w:val="single"/>
        </w:rPr>
        <w:t>J</w:t>
      </w:r>
      <w:r>
        <w:rPr>
          <w:rFonts w:ascii="Constantia" w:hAnsi="Constantia"/>
          <w:b/>
          <w:sz w:val="24"/>
          <w:szCs w:val="24"/>
          <w:u w:val="single"/>
        </w:rPr>
        <w:t>udge</w:t>
      </w:r>
    </w:p>
    <w:p w:rsidR="00195533" w:rsidRDefault="00FB38ED" w:rsidP="00195533">
      <w:pPr>
        <w:rPr>
          <w:rFonts w:ascii="Constantia" w:hAnsi="Constantia"/>
          <w:sz w:val="24"/>
          <w:szCs w:val="24"/>
        </w:rPr>
      </w:pPr>
      <w:r>
        <w:rPr>
          <w:rFonts w:ascii="Constantia" w:hAnsi="Constantia"/>
          <w:sz w:val="24"/>
          <w:szCs w:val="24"/>
        </w:rPr>
        <w:t>2</w:t>
      </w:r>
      <w:r w:rsidR="00F60841">
        <w:rPr>
          <w:rFonts w:ascii="Constantia" w:hAnsi="Constantia"/>
          <w:sz w:val="24"/>
          <w:szCs w:val="24"/>
        </w:rPr>
        <w:t>7</w:t>
      </w:r>
      <w:r w:rsidR="00F60841" w:rsidRPr="00F60841">
        <w:rPr>
          <w:rFonts w:ascii="Constantia" w:hAnsi="Constantia"/>
          <w:sz w:val="24"/>
          <w:szCs w:val="24"/>
          <w:vertAlign w:val="superscript"/>
        </w:rPr>
        <w:t>th</w:t>
      </w:r>
      <w:r w:rsidR="00F60841">
        <w:rPr>
          <w:rFonts w:ascii="Constantia" w:hAnsi="Constantia"/>
          <w:sz w:val="24"/>
          <w:szCs w:val="24"/>
        </w:rPr>
        <w:t xml:space="preserve"> </w:t>
      </w:r>
      <w:r>
        <w:rPr>
          <w:rFonts w:ascii="Constantia" w:hAnsi="Constantia"/>
          <w:sz w:val="24"/>
          <w:szCs w:val="24"/>
        </w:rPr>
        <w:t>October</w:t>
      </w:r>
      <w:r w:rsidR="00195533">
        <w:rPr>
          <w:rFonts w:ascii="Constantia" w:hAnsi="Constantia"/>
          <w:sz w:val="24"/>
          <w:szCs w:val="24"/>
        </w:rPr>
        <w:t xml:space="preserve"> 2014</w:t>
      </w:r>
    </w:p>
    <w:p w:rsidR="00250094" w:rsidRDefault="00250094"/>
    <w:sectPr w:rsidR="00250094" w:rsidSect="00ED4817">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1F7" w:rsidRDefault="008C11F7" w:rsidP="00A3063E">
      <w:pPr>
        <w:spacing w:after="0" w:line="240" w:lineRule="auto"/>
      </w:pPr>
      <w:r>
        <w:separator/>
      </w:r>
    </w:p>
  </w:endnote>
  <w:endnote w:type="continuationSeparator" w:id="1">
    <w:p w:rsidR="008C11F7" w:rsidRDefault="008C11F7" w:rsidP="00A306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8433"/>
      <w:docPartObj>
        <w:docPartGallery w:val="Page Numbers (Bottom of Page)"/>
        <w:docPartUnique/>
      </w:docPartObj>
    </w:sdtPr>
    <w:sdtContent>
      <w:p w:rsidR="00C2239D" w:rsidRDefault="00A0482D">
        <w:pPr>
          <w:pStyle w:val="Footer"/>
          <w:jc w:val="center"/>
        </w:pPr>
        <w:fldSimple w:instr=" PAGE   \* MERGEFORMAT ">
          <w:r w:rsidR="00BD446B">
            <w:rPr>
              <w:noProof/>
            </w:rPr>
            <w:t>1</w:t>
          </w:r>
        </w:fldSimple>
      </w:p>
    </w:sdtContent>
  </w:sdt>
  <w:p w:rsidR="00C2239D" w:rsidRDefault="00C223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1F7" w:rsidRDefault="008C11F7" w:rsidP="00A3063E">
      <w:pPr>
        <w:spacing w:after="0" w:line="240" w:lineRule="auto"/>
      </w:pPr>
      <w:r>
        <w:separator/>
      </w:r>
    </w:p>
  </w:footnote>
  <w:footnote w:type="continuationSeparator" w:id="1">
    <w:p w:rsidR="008C11F7" w:rsidRDefault="008C11F7" w:rsidP="00A306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8ED"/>
    <w:multiLevelType w:val="hybridMultilevel"/>
    <w:tmpl w:val="05607BC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nsid w:val="02411B58"/>
    <w:multiLevelType w:val="hybridMultilevel"/>
    <w:tmpl w:val="6870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D7906"/>
    <w:multiLevelType w:val="hybridMultilevel"/>
    <w:tmpl w:val="7E02B29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3EFF0B99"/>
    <w:multiLevelType w:val="hybridMultilevel"/>
    <w:tmpl w:val="D6CE20D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9335C0A"/>
    <w:multiLevelType w:val="hybridMultilevel"/>
    <w:tmpl w:val="09963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F9329A"/>
    <w:multiLevelType w:val="hybridMultilevel"/>
    <w:tmpl w:val="695ED4D4"/>
    <w:lvl w:ilvl="0" w:tplc="769A5C46">
      <w:start w:val="1"/>
      <w:numFmt w:val="low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B2B313F"/>
    <w:multiLevelType w:val="hybridMultilevel"/>
    <w:tmpl w:val="08D8B016"/>
    <w:lvl w:ilvl="0" w:tplc="EB7CB5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documentProtection w:edit="readOnly" w:enforcement="1"/>
  <w:defaultTabStop w:val="720"/>
  <w:characterSpacingControl w:val="doNotCompress"/>
  <w:footnotePr>
    <w:footnote w:id="0"/>
    <w:footnote w:id="1"/>
  </w:footnotePr>
  <w:endnotePr>
    <w:endnote w:id="0"/>
    <w:endnote w:id="1"/>
  </w:endnotePr>
  <w:compat/>
  <w:rsids>
    <w:rsidRoot w:val="00195533"/>
    <w:rsid w:val="00034816"/>
    <w:rsid w:val="00034D8E"/>
    <w:rsid w:val="00042B8F"/>
    <w:rsid w:val="00052571"/>
    <w:rsid w:val="000540CF"/>
    <w:rsid w:val="00056734"/>
    <w:rsid w:val="00060204"/>
    <w:rsid w:val="0006025E"/>
    <w:rsid w:val="00067695"/>
    <w:rsid w:val="00071359"/>
    <w:rsid w:val="000724DC"/>
    <w:rsid w:val="000749E0"/>
    <w:rsid w:val="000776FF"/>
    <w:rsid w:val="00077DF6"/>
    <w:rsid w:val="00085543"/>
    <w:rsid w:val="00087574"/>
    <w:rsid w:val="000877B6"/>
    <w:rsid w:val="00093B7B"/>
    <w:rsid w:val="000B5F7C"/>
    <w:rsid w:val="000B64B5"/>
    <w:rsid w:val="000E1A8A"/>
    <w:rsid w:val="000E593D"/>
    <w:rsid w:val="00103AE3"/>
    <w:rsid w:val="00116034"/>
    <w:rsid w:val="00124BA7"/>
    <w:rsid w:val="0014625F"/>
    <w:rsid w:val="00150277"/>
    <w:rsid w:val="00151F7A"/>
    <w:rsid w:val="0015751F"/>
    <w:rsid w:val="00184E5D"/>
    <w:rsid w:val="00184F2D"/>
    <w:rsid w:val="0019387F"/>
    <w:rsid w:val="00195533"/>
    <w:rsid w:val="001B2D51"/>
    <w:rsid w:val="001B3036"/>
    <w:rsid w:val="001C59B8"/>
    <w:rsid w:val="001E20B4"/>
    <w:rsid w:val="001F07C9"/>
    <w:rsid w:val="001F5AB6"/>
    <w:rsid w:val="001F6F3B"/>
    <w:rsid w:val="00202BD8"/>
    <w:rsid w:val="0020327E"/>
    <w:rsid w:val="002033B9"/>
    <w:rsid w:val="00214E27"/>
    <w:rsid w:val="00221623"/>
    <w:rsid w:val="0022651C"/>
    <w:rsid w:val="00235704"/>
    <w:rsid w:val="00241BE2"/>
    <w:rsid w:val="00245471"/>
    <w:rsid w:val="00250094"/>
    <w:rsid w:val="00271DB0"/>
    <w:rsid w:val="00275EC6"/>
    <w:rsid w:val="002920C1"/>
    <w:rsid w:val="00294081"/>
    <w:rsid w:val="002961C6"/>
    <w:rsid w:val="002A0985"/>
    <w:rsid w:val="002A5F96"/>
    <w:rsid w:val="002B05BD"/>
    <w:rsid w:val="002B7F1D"/>
    <w:rsid w:val="002C64DE"/>
    <w:rsid w:val="002D2E9A"/>
    <w:rsid w:val="002D7819"/>
    <w:rsid w:val="0031152A"/>
    <w:rsid w:val="00316826"/>
    <w:rsid w:val="00321599"/>
    <w:rsid w:val="003216DD"/>
    <w:rsid w:val="003238D5"/>
    <w:rsid w:val="00331DF1"/>
    <w:rsid w:val="00347561"/>
    <w:rsid w:val="0035299F"/>
    <w:rsid w:val="00361956"/>
    <w:rsid w:val="003623D2"/>
    <w:rsid w:val="003630EB"/>
    <w:rsid w:val="003634DF"/>
    <w:rsid w:val="00383D76"/>
    <w:rsid w:val="00392158"/>
    <w:rsid w:val="003A31F0"/>
    <w:rsid w:val="003A5803"/>
    <w:rsid w:val="003B026C"/>
    <w:rsid w:val="003D205C"/>
    <w:rsid w:val="003D483F"/>
    <w:rsid w:val="003E6F56"/>
    <w:rsid w:val="003E7089"/>
    <w:rsid w:val="00425B9C"/>
    <w:rsid w:val="0043044F"/>
    <w:rsid w:val="0043158D"/>
    <w:rsid w:val="00450A16"/>
    <w:rsid w:val="00456C2C"/>
    <w:rsid w:val="00483189"/>
    <w:rsid w:val="004A03AA"/>
    <w:rsid w:val="004A0CEC"/>
    <w:rsid w:val="004C2C54"/>
    <w:rsid w:val="004D0CCC"/>
    <w:rsid w:val="004D60D3"/>
    <w:rsid w:val="004E7006"/>
    <w:rsid w:val="00502C9A"/>
    <w:rsid w:val="00522802"/>
    <w:rsid w:val="00525AA9"/>
    <w:rsid w:val="00531DA3"/>
    <w:rsid w:val="0053649A"/>
    <w:rsid w:val="00542275"/>
    <w:rsid w:val="005500FD"/>
    <w:rsid w:val="005543B1"/>
    <w:rsid w:val="0055576A"/>
    <w:rsid w:val="005768F4"/>
    <w:rsid w:val="00576FF4"/>
    <w:rsid w:val="005B64BC"/>
    <w:rsid w:val="005E0F7E"/>
    <w:rsid w:val="005F1312"/>
    <w:rsid w:val="005F5DE7"/>
    <w:rsid w:val="005F5E9D"/>
    <w:rsid w:val="00616256"/>
    <w:rsid w:val="00622465"/>
    <w:rsid w:val="00624670"/>
    <w:rsid w:val="00627883"/>
    <w:rsid w:val="00647C29"/>
    <w:rsid w:val="00652EC5"/>
    <w:rsid w:val="00652F5D"/>
    <w:rsid w:val="0065376B"/>
    <w:rsid w:val="0066393E"/>
    <w:rsid w:val="00682D99"/>
    <w:rsid w:val="00687121"/>
    <w:rsid w:val="00695892"/>
    <w:rsid w:val="00695CA5"/>
    <w:rsid w:val="006A4D31"/>
    <w:rsid w:val="006A771F"/>
    <w:rsid w:val="006B5A7F"/>
    <w:rsid w:val="006D1E81"/>
    <w:rsid w:val="006D704A"/>
    <w:rsid w:val="006E37D3"/>
    <w:rsid w:val="006F08D1"/>
    <w:rsid w:val="00721130"/>
    <w:rsid w:val="00722187"/>
    <w:rsid w:val="00722CDF"/>
    <w:rsid w:val="00740F78"/>
    <w:rsid w:val="007462E5"/>
    <w:rsid w:val="00767CDB"/>
    <w:rsid w:val="00793751"/>
    <w:rsid w:val="0079498D"/>
    <w:rsid w:val="007951BA"/>
    <w:rsid w:val="007A7FF3"/>
    <w:rsid w:val="007B78C9"/>
    <w:rsid w:val="007D0562"/>
    <w:rsid w:val="007D5B5F"/>
    <w:rsid w:val="007E198E"/>
    <w:rsid w:val="007E74AD"/>
    <w:rsid w:val="007F19E5"/>
    <w:rsid w:val="00804DD5"/>
    <w:rsid w:val="00814139"/>
    <w:rsid w:val="00817CD3"/>
    <w:rsid w:val="00823192"/>
    <w:rsid w:val="00842111"/>
    <w:rsid w:val="0084754A"/>
    <w:rsid w:val="00855F3A"/>
    <w:rsid w:val="008622D9"/>
    <w:rsid w:val="00865FDD"/>
    <w:rsid w:val="00866704"/>
    <w:rsid w:val="008713D0"/>
    <w:rsid w:val="008720D6"/>
    <w:rsid w:val="00877351"/>
    <w:rsid w:val="00885CEB"/>
    <w:rsid w:val="00897FA2"/>
    <w:rsid w:val="008A0920"/>
    <w:rsid w:val="008A0FE7"/>
    <w:rsid w:val="008A3905"/>
    <w:rsid w:val="008A7FEE"/>
    <w:rsid w:val="008B010E"/>
    <w:rsid w:val="008C11F7"/>
    <w:rsid w:val="008D6C7B"/>
    <w:rsid w:val="008E04F8"/>
    <w:rsid w:val="008E6ED0"/>
    <w:rsid w:val="008F1707"/>
    <w:rsid w:val="008F48EE"/>
    <w:rsid w:val="00907825"/>
    <w:rsid w:val="009079B9"/>
    <w:rsid w:val="00907E89"/>
    <w:rsid w:val="009133FD"/>
    <w:rsid w:val="00921A4B"/>
    <w:rsid w:val="0093782F"/>
    <w:rsid w:val="0094108F"/>
    <w:rsid w:val="0094137A"/>
    <w:rsid w:val="0095177F"/>
    <w:rsid w:val="009520D1"/>
    <w:rsid w:val="00952740"/>
    <w:rsid w:val="0096233E"/>
    <w:rsid w:val="00963F74"/>
    <w:rsid w:val="00966CAA"/>
    <w:rsid w:val="00996BBF"/>
    <w:rsid w:val="00996C36"/>
    <w:rsid w:val="009A01EF"/>
    <w:rsid w:val="009A63B8"/>
    <w:rsid w:val="009B3BA4"/>
    <w:rsid w:val="009C60F8"/>
    <w:rsid w:val="009D30CB"/>
    <w:rsid w:val="009D3C7A"/>
    <w:rsid w:val="009D763A"/>
    <w:rsid w:val="009E4B2E"/>
    <w:rsid w:val="009F2496"/>
    <w:rsid w:val="009F340E"/>
    <w:rsid w:val="00A00A15"/>
    <w:rsid w:val="00A03005"/>
    <w:rsid w:val="00A0482D"/>
    <w:rsid w:val="00A12324"/>
    <w:rsid w:val="00A20BED"/>
    <w:rsid w:val="00A25E95"/>
    <w:rsid w:val="00A26BAB"/>
    <w:rsid w:val="00A3063E"/>
    <w:rsid w:val="00A35FF9"/>
    <w:rsid w:val="00A415BA"/>
    <w:rsid w:val="00A4221E"/>
    <w:rsid w:val="00A44AC8"/>
    <w:rsid w:val="00A5334E"/>
    <w:rsid w:val="00A679B5"/>
    <w:rsid w:val="00A7337A"/>
    <w:rsid w:val="00A87A59"/>
    <w:rsid w:val="00A87B5C"/>
    <w:rsid w:val="00AA6165"/>
    <w:rsid w:val="00AB5618"/>
    <w:rsid w:val="00AC07FD"/>
    <w:rsid w:val="00AD1B35"/>
    <w:rsid w:val="00AE78A1"/>
    <w:rsid w:val="00AF639C"/>
    <w:rsid w:val="00B01B5D"/>
    <w:rsid w:val="00B05FC6"/>
    <w:rsid w:val="00B06CD6"/>
    <w:rsid w:val="00B1208A"/>
    <w:rsid w:val="00B15DBF"/>
    <w:rsid w:val="00B36496"/>
    <w:rsid w:val="00B53584"/>
    <w:rsid w:val="00B63FC4"/>
    <w:rsid w:val="00B664A9"/>
    <w:rsid w:val="00B76FB8"/>
    <w:rsid w:val="00B925E1"/>
    <w:rsid w:val="00BA237C"/>
    <w:rsid w:val="00BA774D"/>
    <w:rsid w:val="00BD446B"/>
    <w:rsid w:val="00BE6683"/>
    <w:rsid w:val="00BF4AA6"/>
    <w:rsid w:val="00BF7A34"/>
    <w:rsid w:val="00C001BC"/>
    <w:rsid w:val="00C01655"/>
    <w:rsid w:val="00C0282C"/>
    <w:rsid w:val="00C16250"/>
    <w:rsid w:val="00C17405"/>
    <w:rsid w:val="00C2239D"/>
    <w:rsid w:val="00C3705B"/>
    <w:rsid w:val="00C37E1F"/>
    <w:rsid w:val="00C418F8"/>
    <w:rsid w:val="00C46525"/>
    <w:rsid w:val="00C4667E"/>
    <w:rsid w:val="00C47CD8"/>
    <w:rsid w:val="00C52370"/>
    <w:rsid w:val="00C52966"/>
    <w:rsid w:val="00C72E2F"/>
    <w:rsid w:val="00C864ED"/>
    <w:rsid w:val="00CB1D8E"/>
    <w:rsid w:val="00CB32AC"/>
    <w:rsid w:val="00CB3573"/>
    <w:rsid w:val="00CD61DD"/>
    <w:rsid w:val="00CE0674"/>
    <w:rsid w:val="00CF0CEB"/>
    <w:rsid w:val="00CF30E4"/>
    <w:rsid w:val="00CF3B64"/>
    <w:rsid w:val="00D0379F"/>
    <w:rsid w:val="00D05CB2"/>
    <w:rsid w:val="00D2160F"/>
    <w:rsid w:val="00D26522"/>
    <w:rsid w:val="00D322C9"/>
    <w:rsid w:val="00D32CC2"/>
    <w:rsid w:val="00D64F35"/>
    <w:rsid w:val="00D674FC"/>
    <w:rsid w:val="00D730A3"/>
    <w:rsid w:val="00D83789"/>
    <w:rsid w:val="00D910E6"/>
    <w:rsid w:val="00DA5C2E"/>
    <w:rsid w:val="00DB15DB"/>
    <w:rsid w:val="00DB4537"/>
    <w:rsid w:val="00DC0AE2"/>
    <w:rsid w:val="00DC77B6"/>
    <w:rsid w:val="00DD1D9E"/>
    <w:rsid w:val="00DE216C"/>
    <w:rsid w:val="00E04146"/>
    <w:rsid w:val="00E045F6"/>
    <w:rsid w:val="00E14D0D"/>
    <w:rsid w:val="00E160D6"/>
    <w:rsid w:val="00E37EBD"/>
    <w:rsid w:val="00E47CFB"/>
    <w:rsid w:val="00E5443D"/>
    <w:rsid w:val="00E64179"/>
    <w:rsid w:val="00E64751"/>
    <w:rsid w:val="00E723CB"/>
    <w:rsid w:val="00E77AD3"/>
    <w:rsid w:val="00E80D37"/>
    <w:rsid w:val="00E82ECA"/>
    <w:rsid w:val="00EA61A2"/>
    <w:rsid w:val="00EB0310"/>
    <w:rsid w:val="00EC04EA"/>
    <w:rsid w:val="00EC3FEA"/>
    <w:rsid w:val="00EC668C"/>
    <w:rsid w:val="00ED4817"/>
    <w:rsid w:val="00EE0B1A"/>
    <w:rsid w:val="00EF3451"/>
    <w:rsid w:val="00EF62DD"/>
    <w:rsid w:val="00F04AA6"/>
    <w:rsid w:val="00F1337A"/>
    <w:rsid w:val="00F46124"/>
    <w:rsid w:val="00F60841"/>
    <w:rsid w:val="00F6528E"/>
    <w:rsid w:val="00F66279"/>
    <w:rsid w:val="00F73020"/>
    <w:rsid w:val="00F734C5"/>
    <w:rsid w:val="00F81C6F"/>
    <w:rsid w:val="00F917E4"/>
    <w:rsid w:val="00FB38ED"/>
    <w:rsid w:val="00FB5A1B"/>
    <w:rsid w:val="00FD1989"/>
    <w:rsid w:val="00FD513A"/>
    <w:rsid w:val="00FE07A6"/>
    <w:rsid w:val="00FE3A4F"/>
    <w:rsid w:val="00FE7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53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533"/>
    <w:pPr>
      <w:ind w:left="720"/>
      <w:contextualSpacing/>
    </w:pPr>
  </w:style>
  <w:style w:type="paragraph" w:styleId="Footer">
    <w:name w:val="footer"/>
    <w:basedOn w:val="Normal"/>
    <w:link w:val="FooterChar"/>
    <w:uiPriority w:val="99"/>
    <w:unhideWhenUsed/>
    <w:rsid w:val="00195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533"/>
    <w:rPr>
      <w:lang w:val="en-CA"/>
    </w:rPr>
  </w:style>
  <w:style w:type="paragraph" w:styleId="NormalWeb">
    <w:name w:val="Normal (Web)"/>
    <w:basedOn w:val="Normal"/>
    <w:uiPriority w:val="99"/>
    <w:semiHidden/>
    <w:unhideWhenUsed/>
    <w:rsid w:val="0019553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95533"/>
    <w:rPr>
      <w:b/>
      <w:bCs/>
    </w:rPr>
  </w:style>
  <w:style w:type="character" w:styleId="Emphasis">
    <w:name w:val="Emphasis"/>
    <w:basedOn w:val="DefaultParagraphFont"/>
    <w:uiPriority w:val="20"/>
    <w:qFormat/>
    <w:rsid w:val="00195533"/>
    <w:rPr>
      <w:i/>
      <w:iCs/>
    </w:rPr>
  </w:style>
  <w:style w:type="character" w:customStyle="1" w:styleId="st">
    <w:name w:val="st"/>
    <w:basedOn w:val="DefaultParagraphFont"/>
    <w:rsid w:val="00682D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4275</Words>
  <Characters>24368</Characters>
  <Application>Microsoft Office Word</Application>
  <DocSecurity>8</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mmugenyi</dc:creator>
  <cp:lastModifiedBy>jmugala</cp:lastModifiedBy>
  <cp:revision>2</cp:revision>
  <cp:lastPrinted>2014-10-27T04:58:00Z</cp:lastPrinted>
  <dcterms:created xsi:type="dcterms:W3CDTF">2014-10-30T14:05:00Z</dcterms:created>
  <dcterms:modified xsi:type="dcterms:W3CDTF">2014-10-30T14:05:00Z</dcterms:modified>
</cp:coreProperties>
</file>