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991" w:rsidRPr="000B2DBE" w:rsidRDefault="00085102" w:rsidP="00085102">
      <w:pPr>
        <w:jc w:val="center"/>
        <w:rPr>
          <w:b/>
          <w:sz w:val="20"/>
          <w:szCs w:val="20"/>
          <w:lang w:val="cy-GB"/>
        </w:rPr>
      </w:pPr>
      <w:r w:rsidRPr="000B2DBE">
        <w:rPr>
          <w:b/>
          <w:sz w:val="20"/>
          <w:szCs w:val="20"/>
          <w:lang w:val="cy-GB"/>
        </w:rPr>
        <w:t>THE REPUBLIC OF UGANDA</w:t>
      </w:r>
    </w:p>
    <w:p w:rsidR="00C05177" w:rsidRPr="000B2DBE" w:rsidRDefault="00C05177" w:rsidP="00085102">
      <w:pPr>
        <w:jc w:val="center"/>
        <w:rPr>
          <w:b/>
          <w:sz w:val="20"/>
          <w:szCs w:val="20"/>
          <w:lang w:val="cy-GB"/>
        </w:rPr>
      </w:pPr>
    </w:p>
    <w:p w:rsidR="00085102" w:rsidRPr="000B2DBE" w:rsidRDefault="00085102" w:rsidP="00085102">
      <w:pPr>
        <w:jc w:val="center"/>
        <w:rPr>
          <w:b/>
          <w:sz w:val="20"/>
          <w:szCs w:val="20"/>
          <w:lang w:val="cy-GB"/>
        </w:rPr>
      </w:pPr>
      <w:r w:rsidRPr="000B2DBE">
        <w:rPr>
          <w:b/>
          <w:sz w:val="20"/>
          <w:szCs w:val="20"/>
          <w:lang w:val="cy-GB"/>
        </w:rPr>
        <w:t>IN THE HIGH COURT OF UGANDA AT KAMPALA</w:t>
      </w:r>
    </w:p>
    <w:p w:rsidR="00C05177" w:rsidRPr="000B2DBE" w:rsidRDefault="00C05177" w:rsidP="00085102">
      <w:pPr>
        <w:jc w:val="center"/>
        <w:rPr>
          <w:b/>
          <w:sz w:val="20"/>
          <w:szCs w:val="20"/>
          <w:lang w:val="cy-GB"/>
        </w:rPr>
      </w:pPr>
    </w:p>
    <w:p w:rsidR="00085102" w:rsidRPr="000B2DBE" w:rsidRDefault="00085102" w:rsidP="00085102">
      <w:pPr>
        <w:jc w:val="center"/>
        <w:rPr>
          <w:b/>
          <w:sz w:val="20"/>
          <w:szCs w:val="20"/>
          <w:lang w:val="cy-GB"/>
        </w:rPr>
      </w:pPr>
      <w:r w:rsidRPr="000B2DBE">
        <w:rPr>
          <w:b/>
          <w:sz w:val="20"/>
          <w:szCs w:val="20"/>
          <w:lang w:val="cy-GB"/>
        </w:rPr>
        <w:t>LAND DIVISION</w:t>
      </w:r>
    </w:p>
    <w:p w:rsidR="00C05177" w:rsidRPr="000B2DBE" w:rsidRDefault="00C05177" w:rsidP="00085102">
      <w:pPr>
        <w:jc w:val="center"/>
        <w:rPr>
          <w:b/>
          <w:sz w:val="20"/>
          <w:szCs w:val="20"/>
          <w:lang w:val="cy-GB"/>
        </w:rPr>
      </w:pPr>
    </w:p>
    <w:p w:rsidR="00085102" w:rsidRPr="000B2DBE" w:rsidRDefault="001B0BA6" w:rsidP="00085102">
      <w:pPr>
        <w:jc w:val="center"/>
        <w:rPr>
          <w:b/>
          <w:sz w:val="20"/>
          <w:szCs w:val="20"/>
          <w:lang w:val="cy-GB"/>
        </w:rPr>
      </w:pPr>
      <w:r w:rsidRPr="000B2DBE">
        <w:rPr>
          <w:b/>
          <w:sz w:val="20"/>
          <w:szCs w:val="20"/>
          <w:lang w:val="cy-GB"/>
        </w:rPr>
        <w:t>MISCELLANEOUS APPLICATION NO. 1066</w:t>
      </w:r>
      <w:r w:rsidR="00085102" w:rsidRPr="000B2DBE">
        <w:rPr>
          <w:b/>
          <w:sz w:val="20"/>
          <w:szCs w:val="20"/>
          <w:lang w:val="cy-GB"/>
        </w:rPr>
        <w:t xml:space="preserve"> OF 2012</w:t>
      </w:r>
    </w:p>
    <w:p w:rsidR="00C05177" w:rsidRPr="000B2DBE" w:rsidRDefault="00C05177" w:rsidP="00085102">
      <w:pPr>
        <w:jc w:val="center"/>
        <w:rPr>
          <w:b/>
          <w:sz w:val="20"/>
          <w:szCs w:val="20"/>
          <w:lang w:val="cy-GB"/>
        </w:rPr>
      </w:pPr>
    </w:p>
    <w:p w:rsidR="00085102" w:rsidRPr="000B2DBE" w:rsidRDefault="008F02A8" w:rsidP="00085102">
      <w:pPr>
        <w:jc w:val="center"/>
        <w:rPr>
          <w:b/>
          <w:i/>
          <w:sz w:val="20"/>
          <w:szCs w:val="20"/>
          <w:lang w:val="cy-GB"/>
        </w:rPr>
      </w:pPr>
      <w:r w:rsidRPr="000B2DBE">
        <w:rPr>
          <w:b/>
          <w:i/>
          <w:sz w:val="20"/>
          <w:szCs w:val="20"/>
          <w:lang w:val="cy-GB"/>
        </w:rPr>
        <w:t>ARISING FROM CIVIL SUIT NO. 3</w:t>
      </w:r>
      <w:r w:rsidR="001B0BA6" w:rsidRPr="000B2DBE">
        <w:rPr>
          <w:b/>
          <w:i/>
          <w:sz w:val="20"/>
          <w:szCs w:val="20"/>
          <w:lang w:val="cy-GB"/>
        </w:rPr>
        <w:t>11 OF 2011</w:t>
      </w:r>
    </w:p>
    <w:p w:rsidR="00C05177" w:rsidRPr="000B2DBE" w:rsidRDefault="00C05177" w:rsidP="00085102">
      <w:pPr>
        <w:jc w:val="center"/>
        <w:rPr>
          <w:b/>
          <w:i/>
          <w:sz w:val="20"/>
          <w:szCs w:val="20"/>
          <w:lang w:val="cy-GB"/>
        </w:rPr>
      </w:pPr>
    </w:p>
    <w:p w:rsidR="000B2DBE" w:rsidRDefault="000B2DBE" w:rsidP="00085102">
      <w:pPr>
        <w:rPr>
          <w:b/>
          <w:sz w:val="20"/>
          <w:szCs w:val="20"/>
          <w:lang w:val="cy-GB"/>
        </w:rPr>
      </w:pPr>
      <w:r>
        <w:rPr>
          <w:b/>
          <w:noProof/>
          <w:sz w:val="20"/>
          <w:szCs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161.8pt;margin-top:.7pt;width:49.1pt;height:48.7pt;z-index:251659264"/>
        </w:pict>
      </w:r>
      <w:r w:rsidR="001B0BA6" w:rsidRPr="000B2DBE">
        <w:rPr>
          <w:b/>
          <w:sz w:val="20"/>
          <w:szCs w:val="20"/>
          <w:lang w:val="cy-GB"/>
        </w:rPr>
        <w:t xml:space="preserve">ADMINISTRATOR GENERAL </w:t>
      </w:r>
    </w:p>
    <w:p w:rsidR="001B0BA6" w:rsidRPr="000B2DBE" w:rsidRDefault="001B0BA6" w:rsidP="00085102">
      <w:pPr>
        <w:rPr>
          <w:b/>
          <w:sz w:val="20"/>
          <w:szCs w:val="20"/>
          <w:lang w:val="cy-GB"/>
        </w:rPr>
      </w:pPr>
      <w:r w:rsidRPr="000B2DBE">
        <w:rPr>
          <w:b/>
          <w:sz w:val="20"/>
          <w:szCs w:val="20"/>
          <w:lang w:val="cy-GB"/>
        </w:rPr>
        <w:t>OF UGANDA [SUING THROUGH]</w:t>
      </w:r>
    </w:p>
    <w:p w:rsidR="001B0BA6" w:rsidRPr="000B2DBE" w:rsidRDefault="001B0BA6" w:rsidP="001B0BA6">
      <w:pPr>
        <w:pStyle w:val="ListParagraph"/>
        <w:numPr>
          <w:ilvl w:val="0"/>
          <w:numId w:val="1"/>
        </w:numPr>
        <w:rPr>
          <w:b/>
          <w:sz w:val="20"/>
          <w:szCs w:val="20"/>
          <w:lang w:val="cy-GB"/>
        </w:rPr>
      </w:pPr>
      <w:r w:rsidRPr="000B2DBE">
        <w:rPr>
          <w:b/>
          <w:sz w:val="20"/>
          <w:szCs w:val="20"/>
          <w:lang w:val="cy-GB"/>
        </w:rPr>
        <w:t>KALOLI MWEBE</w:t>
      </w:r>
      <w:r w:rsidR="000B2DBE">
        <w:rPr>
          <w:b/>
          <w:sz w:val="20"/>
          <w:szCs w:val="20"/>
          <w:lang w:val="cy-GB"/>
        </w:rPr>
        <w:t xml:space="preserve">                                      ::::::::::::::::::::::::::::::::::APPLICANTS</w:t>
      </w:r>
    </w:p>
    <w:p w:rsidR="00085102" w:rsidRPr="000B2DBE" w:rsidRDefault="001B0BA6" w:rsidP="001B0BA6">
      <w:pPr>
        <w:pStyle w:val="ListParagraph"/>
        <w:numPr>
          <w:ilvl w:val="0"/>
          <w:numId w:val="1"/>
        </w:numPr>
        <w:rPr>
          <w:b/>
          <w:sz w:val="20"/>
          <w:szCs w:val="20"/>
          <w:lang w:val="cy-GB"/>
        </w:rPr>
      </w:pPr>
      <w:r w:rsidRPr="000B2DBE">
        <w:rPr>
          <w:b/>
          <w:sz w:val="20"/>
          <w:szCs w:val="20"/>
          <w:lang w:val="cy-GB"/>
        </w:rPr>
        <w:t>WANNYANA NORAH HARRIET</w:t>
      </w:r>
    </w:p>
    <w:p w:rsidR="00467EAD" w:rsidRPr="000B2DBE" w:rsidRDefault="00467EAD" w:rsidP="00085102">
      <w:pPr>
        <w:jc w:val="center"/>
        <w:rPr>
          <w:b/>
          <w:sz w:val="20"/>
          <w:szCs w:val="20"/>
          <w:lang w:val="cy-GB"/>
        </w:rPr>
      </w:pPr>
    </w:p>
    <w:p w:rsidR="00085102" w:rsidRPr="000B2DBE" w:rsidRDefault="00085102" w:rsidP="00085102">
      <w:pPr>
        <w:jc w:val="center"/>
        <w:rPr>
          <w:b/>
          <w:sz w:val="20"/>
          <w:szCs w:val="20"/>
          <w:lang w:val="cy-GB"/>
        </w:rPr>
      </w:pPr>
      <w:r w:rsidRPr="000B2DBE">
        <w:rPr>
          <w:b/>
          <w:sz w:val="20"/>
          <w:szCs w:val="20"/>
          <w:lang w:val="cy-GB"/>
        </w:rPr>
        <w:t>VERSUS</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KITATTA ABUDALLA</w:t>
      </w:r>
    </w:p>
    <w:p w:rsidR="001B0BA6" w:rsidRPr="000B2DBE" w:rsidRDefault="000B2DBE" w:rsidP="001B0BA6">
      <w:pPr>
        <w:pStyle w:val="ListParagraph"/>
        <w:numPr>
          <w:ilvl w:val="0"/>
          <w:numId w:val="2"/>
        </w:numPr>
        <w:rPr>
          <w:b/>
          <w:sz w:val="20"/>
          <w:szCs w:val="20"/>
          <w:lang w:val="cy-GB"/>
        </w:rPr>
      </w:pPr>
      <w:r>
        <w:rPr>
          <w:b/>
          <w:noProof/>
          <w:sz w:val="20"/>
          <w:szCs w:val="20"/>
        </w:rPr>
        <w:pict>
          <v:shape id="_x0000_s1026" type="#_x0000_t88" style="position:absolute;left:0;text-align:left;margin-left:157.2pt;margin-top:-.05pt;width:21.65pt;height:125.7pt;z-index:251658240"/>
        </w:pict>
      </w:r>
      <w:r w:rsidR="001B0BA6" w:rsidRPr="000B2DBE">
        <w:rPr>
          <w:b/>
          <w:sz w:val="20"/>
          <w:szCs w:val="20"/>
          <w:lang w:val="cy-GB"/>
        </w:rPr>
        <w:t>JJUKO BAMWEYANA</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MUKASA RONALD</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MOSES MUTAAWE</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GODFREY NKOBEKU</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RONNIE MUTYABA</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SIRAJE BUTCHMAN</w:t>
      </w:r>
      <w:r w:rsidR="000B2DBE">
        <w:rPr>
          <w:b/>
          <w:sz w:val="20"/>
          <w:szCs w:val="20"/>
          <w:lang w:val="cy-GB"/>
        </w:rPr>
        <w:t xml:space="preserve">                   ::::::::::::::::::::::::::::::::::::::::::RESPONDENTS</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KIWANUKA KIWANDA</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LUKWAGO KASSAJJA</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DIANA NAMUKASA</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NAMUYIGA AGNES</w:t>
      </w:r>
    </w:p>
    <w:p w:rsidR="001B0BA6" w:rsidRPr="000B2DBE" w:rsidRDefault="001B0BA6" w:rsidP="001B0BA6">
      <w:pPr>
        <w:pStyle w:val="ListParagraph"/>
        <w:numPr>
          <w:ilvl w:val="0"/>
          <w:numId w:val="2"/>
        </w:numPr>
        <w:rPr>
          <w:b/>
          <w:sz w:val="20"/>
          <w:szCs w:val="20"/>
          <w:lang w:val="cy-GB"/>
        </w:rPr>
      </w:pPr>
      <w:r w:rsidRPr="000B2DBE">
        <w:rPr>
          <w:b/>
          <w:sz w:val="20"/>
          <w:szCs w:val="20"/>
          <w:lang w:val="cy-GB"/>
        </w:rPr>
        <w:t>KOBUSINGYE ROSE</w:t>
      </w:r>
    </w:p>
    <w:p w:rsidR="0041623C" w:rsidRPr="000B2DBE" w:rsidRDefault="0041623C" w:rsidP="00085102">
      <w:pPr>
        <w:rPr>
          <w:b/>
          <w:sz w:val="20"/>
          <w:szCs w:val="20"/>
          <w:lang w:val="cy-GB"/>
        </w:rPr>
      </w:pPr>
    </w:p>
    <w:p w:rsidR="00C05C6B" w:rsidRPr="000B2DBE" w:rsidRDefault="00C05C6B" w:rsidP="00C05C6B">
      <w:pPr>
        <w:jc w:val="center"/>
        <w:rPr>
          <w:b/>
          <w:sz w:val="20"/>
          <w:szCs w:val="20"/>
          <w:lang w:val="cy-GB"/>
        </w:rPr>
      </w:pPr>
      <w:r w:rsidRPr="000B2DBE">
        <w:rPr>
          <w:b/>
          <w:sz w:val="20"/>
          <w:szCs w:val="20"/>
          <w:lang w:val="cy-GB"/>
        </w:rPr>
        <w:t>BEFORE LADY JUSTICE PERCY NIGHT TUHAISE</w:t>
      </w:r>
    </w:p>
    <w:p w:rsidR="00C05C6B" w:rsidRPr="000B2DBE" w:rsidRDefault="00C05C6B" w:rsidP="00085102">
      <w:pPr>
        <w:jc w:val="center"/>
        <w:rPr>
          <w:b/>
          <w:sz w:val="20"/>
          <w:szCs w:val="20"/>
          <w:lang w:val="cy-GB"/>
        </w:rPr>
      </w:pPr>
    </w:p>
    <w:p w:rsidR="00085102" w:rsidRPr="000B2DBE" w:rsidRDefault="00085102" w:rsidP="00085102">
      <w:pPr>
        <w:jc w:val="center"/>
        <w:rPr>
          <w:b/>
          <w:sz w:val="20"/>
          <w:szCs w:val="20"/>
          <w:lang w:val="cy-GB"/>
        </w:rPr>
      </w:pPr>
      <w:r w:rsidRPr="000B2DBE">
        <w:rPr>
          <w:b/>
          <w:sz w:val="20"/>
          <w:szCs w:val="20"/>
          <w:lang w:val="cy-GB"/>
        </w:rPr>
        <w:t>RULING</w:t>
      </w:r>
    </w:p>
    <w:p w:rsidR="0041623C" w:rsidRPr="000B2DBE" w:rsidRDefault="0041623C" w:rsidP="00085102">
      <w:pPr>
        <w:jc w:val="center"/>
        <w:rPr>
          <w:b/>
          <w:sz w:val="20"/>
          <w:szCs w:val="20"/>
          <w:lang w:val="cy-GB"/>
        </w:rPr>
      </w:pPr>
    </w:p>
    <w:p w:rsidR="00826626" w:rsidRPr="000B2DBE" w:rsidRDefault="00D433F9" w:rsidP="00826626">
      <w:pPr>
        <w:jc w:val="both"/>
        <w:rPr>
          <w:sz w:val="20"/>
          <w:szCs w:val="20"/>
          <w:lang w:val="cy-GB"/>
        </w:rPr>
      </w:pPr>
      <w:r w:rsidRPr="000B2DBE">
        <w:rPr>
          <w:sz w:val="20"/>
          <w:szCs w:val="20"/>
          <w:lang w:val="cy-GB"/>
        </w:rPr>
        <w:t>This was an application by notice of motion under</w:t>
      </w:r>
      <w:r w:rsidR="000B53A2" w:rsidRPr="000B2DBE">
        <w:rPr>
          <w:sz w:val="20"/>
          <w:szCs w:val="20"/>
          <w:lang w:val="cy-GB"/>
        </w:rPr>
        <w:t xml:space="preserve"> section 33 of the Judicature Act, section 98 of the Civil Procedure Act and Order 52 rule 1</w:t>
      </w:r>
      <w:r w:rsidRPr="000B2DBE">
        <w:rPr>
          <w:sz w:val="20"/>
          <w:szCs w:val="20"/>
          <w:lang w:val="cy-GB"/>
        </w:rPr>
        <w:t xml:space="preserve"> of the Civil Procedure Rules (CPR)</w:t>
      </w:r>
      <w:r w:rsidR="00826626" w:rsidRPr="000B2DBE">
        <w:rPr>
          <w:sz w:val="20"/>
          <w:szCs w:val="20"/>
          <w:lang w:val="cy-GB"/>
        </w:rPr>
        <w:t>, for order</w:t>
      </w:r>
      <w:r w:rsidR="00D9309A" w:rsidRPr="000B2DBE">
        <w:rPr>
          <w:sz w:val="20"/>
          <w:szCs w:val="20"/>
          <w:lang w:val="cy-GB"/>
        </w:rPr>
        <w:t>s</w:t>
      </w:r>
      <w:r w:rsidR="00826626" w:rsidRPr="000B2DBE">
        <w:rPr>
          <w:sz w:val="20"/>
          <w:szCs w:val="20"/>
          <w:lang w:val="cy-GB"/>
        </w:rPr>
        <w:t xml:space="preserve"> that the</w:t>
      </w:r>
      <w:r w:rsidR="000B53A2" w:rsidRPr="000B2DBE">
        <w:rPr>
          <w:sz w:val="20"/>
          <w:szCs w:val="20"/>
          <w:lang w:val="cy-GB"/>
        </w:rPr>
        <w:t xml:space="preserve"> decree or order of court dismissing civil suit no 311/ 2011 </w:t>
      </w:r>
      <w:r w:rsidR="00826626" w:rsidRPr="000B2DBE">
        <w:rPr>
          <w:sz w:val="20"/>
          <w:szCs w:val="20"/>
          <w:lang w:val="cy-GB"/>
        </w:rPr>
        <w:t>be set aside; and that costs</w:t>
      </w:r>
      <w:r w:rsidR="000B53A2" w:rsidRPr="000B2DBE">
        <w:rPr>
          <w:sz w:val="20"/>
          <w:szCs w:val="20"/>
          <w:lang w:val="cy-GB"/>
        </w:rPr>
        <w:t xml:space="preserve"> abide the outcome of the suit.</w:t>
      </w:r>
    </w:p>
    <w:p w:rsidR="00826626" w:rsidRPr="000B2DBE" w:rsidRDefault="00826626" w:rsidP="00826626">
      <w:pPr>
        <w:jc w:val="both"/>
        <w:rPr>
          <w:b/>
          <w:sz w:val="20"/>
          <w:szCs w:val="20"/>
          <w:lang w:val="cy-GB"/>
        </w:rPr>
      </w:pPr>
    </w:p>
    <w:p w:rsidR="00E473DD" w:rsidRPr="000B2DBE" w:rsidRDefault="006E1051" w:rsidP="00E473DD">
      <w:pPr>
        <w:jc w:val="both"/>
        <w:rPr>
          <w:sz w:val="20"/>
          <w:szCs w:val="20"/>
          <w:lang w:val="cy-GB"/>
        </w:rPr>
      </w:pPr>
      <w:r w:rsidRPr="000B2DBE">
        <w:rPr>
          <w:sz w:val="20"/>
          <w:szCs w:val="20"/>
          <w:lang w:val="cy-GB"/>
        </w:rPr>
        <w:t>The grounds of the application</w:t>
      </w:r>
      <w:r w:rsidR="00CB11B4" w:rsidRPr="000B2DBE">
        <w:rPr>
          <w:sz w:val="20"/>
          <w:szCs w:val="20"/>
          <w:lang w:val="cy-GB"/>
        </w:rPr>
        <w:t xml:space="preserve"> are that</w:t>
      </w:r>
      <w:r w:rsidR="00907AA5" w:rsidRPr="000B2DBE">
        <w:rPr>
          <w:sz w:val="20"/>
          <w:szCs w:val="20"/>
          <w:lang w:val="cy-GB"/>
        </w:rPr>
        <w:t xml:space="preserve"> the applicants </w:t>
      </w:r>
      <w:r w:rsidR="00141DCE" w:rsidRPr="000B2DBE">
        <w:rPr>
          <w:sz w:val="20"/>
          <w:szCs w:val="20"/>
          <w:lang w:val="cy-GB"/>
        </w:rPr>
        <w:t>filed unsworn</w:t>
      </w:r>
      <w:r w:rsidR="00CB11B4" w:rsidRPr="000B2DBE">
        <w:rPr>
          <w:sz w:val="20"/>
          <w:szCs w:val="20"/>
          <w:lang w:val="cy-GB"/>
        </w:rPr>
        <w:t xml:space="preserve"> written witness statements in c</w:t>
      </w:r>
      <w:r w:rsidR="00141DCE" w:rsidRPr="000B2DBE">
        <w:rPr>
          <w:sz w:val="20"/>
          <w:szCs w:val="20"/>
          <w:lang w:val="cy-GB"/>
        </w:rPr>
        <w:t>ivil suit no. 311/2011 owing to inadvertence/mistake of counsel; that the inadvertence of counsel for the applicants ought not to be visited on the applicants so as to extinguish their claim in the suit land; the application discloses sufficient reason for the court to exercise its discretion to review and set aside the order of dismissal so that substantive justice is served; the applicants are not guilty of dilatory conduct in bringing this application and there has been no inordinate delay; and that it is just and equitable that</w:t>
      </w:r>
      <w:r w:rsidR="00884BD7" w:rsidRPr="000B2DBE">
        <w:rPr>
          <w:sz w:val="20"/>
          <w:szCs w:val="20"/>
          <w:lang w:val="cy-GB"/>
        </w:rPr>
        <w:t xml:space="preserve"> the decree/order be set aside </w:t>
      </w:r>
      <w:r w:rsidR="00141DCE" w:rsidRPr="000B2DBE">
        <w:rPr>
          <w:sz w:val="20"/>
          <w:szCs w:val="20"/>
          <w:lang w:val="cy-GB"/>
        </w:rPr>
        <w:t>and the application will occassion no prejudice to the respondents.</w:t>
      </w:r>
    </w:p>
    <w:p w:rsidR="00141DCE" w:rsidRPr="000B2DBE" w:rsidRDefault="00141DCE" w:rsidP="00E473DD">
      <w:pPr>
        <w:jc w:val="both"/>
        <w:rPr>
          <w:sz w:val="20"/>
          <w:szCs w:val="20"/>
          <w:lang w:val="cy-GB"/>
        </w:rPr>
      </w:pPr>
    </w:p>
    <w:p w:rsidR="00C45EC4" w:rsidRPr="000B2DBE" w:rsidRDefault="00E473DD" w:rsidP="00E473DD">
      <w:pPr>
        <w:jc w:val="both"/>
        <w:rPr>
          <w:sz w:val="20"/>
          <w:szCs w:val="20"/>
          <w:lang w:val="cy-GB"/>
        </w:rPr>
      </w:pPr>
      <w:r w:rsidRPr="000B2DBE">
        <w:rPr>
          <w:sz w:val="20"/>
          <w:szCs w:val="20"/>
          <w:lang w:val="cy-GB"/>
        </w:rPr>
        <w:t xml:space="preserve">The application is supported by the affidavit of  </w:t>
      </w:r>
      <w:r w:rsidR="00141DCE" w:rsidRPr="000B2DBE">
        <w:rPr>
          <w:b/>
          <w:sz w:val="20"/>
          <w:szCs w:val="20"/>
          <w:lang w:val="cy-GB"/>
        </w:rPr>
        <w:t xml:space="preserve">Kaloli Mwebe </w:t>
      </w:r>
      <w:r w:rsidRPr="000B2DBE">
        <w:rPr>
          <w:sz w:val="20"/>
          <w:szCs w:val="20"/>
          <w:lang w:val="cy-GB"/>
        </w:rPr>
        <w:t>the</w:t>
      </w:r>
      <w:r w:rsidR="00141DCE" w:rsidRPr="000B2DBE">
        <w:rPr>
          <w:sz w:val="20"/>
          <w:szCs w:val="20"/>
          <w:lang w:val="cy-GB"/>
        </w:rPr>
        <w:t xml:space="preserve"> 1</w:t>
      </w:r>
      <w:r w:rsidR="00141DCE" w:rsidRPr="000B2DBE">
        <w:rPr>
          <w:sz w:val="20"/>
          <w:szCs w:val="20"/>
          <w:vertAlign w:val="superscript"/>
          <w:lang w:val="cy-GB"/>
        </w:rPr>
        <w:t>st</w:t>
      </w:r>
      <w:r w:rsidRPr="000B2DBE">
        <w:rPr>
          <w:sz w:val="20"/>
          <w:szCs w:val="20"/>
          <w:lang w:val="cy-GB"/>
        </w:rPr>
        <w:t xml:space="preserve"> applicant.</w:t>
      </w:r>
    </w:p>
    <w:p w:rsidR="00141DCE" w:rsidRPr="000B2DBE" w:rsidRDefault="00141DCE" w:rsidP="00E473DD">
      <w:pPr>
        <w:jc w:val="both"/>
        <w:rPr>
          <w:sz w:val="20"/>
          <w:szCs w:val="20"/>
          <w:lang w:val="cy-GB"/>
        </w:rPr>
      </w:pPr>
    </w:p>
    <w:p w:rsidR="00085102" w:rsidRPr="000B2DBE" w:rsidRDefault="00C45EC4" w:rsidP="00303787">
      <w:pPr>
        <w:jc w:val="both"/>
        <w:rPr>
          <w:sz w:val="20"/>
          <w:szCs w:val="20"/>
          <w:lang w:val="cy-GB"/>
        </w:rPr>
      </w:pPr>
      <w:r w:rsidRPr="000B2DBE">
        <w:rPr>
          <w:sz w:val="20"/>
          <w:szCs w:val="20"/>
          <w:lang w:val="cy-GB"/>
        </w:rPr>
        <w:t>The backgrou</w:t>
      </w:r>
      <w:r w:rsidR="00E068B1" w:rsidRPr="000B2DBE">
        <w:rPr>
          <w:sz w:val="20"/>
          <w:szCs w:val="20"/>
          <w:lang w:val="cy-GB"/>
        </w:rPr>
        <w:t>nd to the application is that</w:t>
      </w:r>
      <w:r w:rsidR="00A3131B" w:rsidRPr="000B2DBE">
        <w:rPr>
          <w:sz w:val="20"/>
          <w:szCs w:val="20"/>
          <w:lang w:val="cy-GB"/>
        </w:rPr>
        <w:t xml:space="preserve"> this court, in hearing civil suit no. 311/2011 </w:t>
      </w:r>
      <w:r w:rsidR="00A3131B" w:rsidRPr="000B2DBE">
        <w:rPr>
          <w:i/>
          <w:sz w:val="20"/>
          <w:szCs w:val="20"/>
          <w:lang w:val="cy-GB"/>
        </w:rPr>
        <w:t>ex parte,</w:t>
      </w:r>
      <w:r w:rsidR="00A3131B" w:rsidRPr="000B2DBE">
        <w:rPr>
          <w:sz w:val="20"/>
          <w:szCs w:val="20"/>
          <w:lang w:val="cy-GB"/>
        </w:rPr>
        <w:t xml:space="preserve"> after the plaintiffs had procured a default judgement against the defendants, directed the plaintiff’s Counsel to file sworn witness statements as well as w</w:t>
      </w:r>
      <w:r w:rsidR="00BC565A" w:rsidRPr="000B2DBE">
        <w:rPr>
          <w:sz w:val="20"/>
          <w:szCs w:val="20"/>
          <w:lang w:val="cy-GB"/>
        </w:rPr>
        <w:t>r</w:t>
      </w:r>
      <w:r w:rsidR="00A3131B" w:rsidRPr="000B2DBE">
        <w:rPr>
          <w:sz w:val="20"/>
          <w:szCs w:val="20"/>
          <w:lang w:val="cy-GB"/>
        </w:rPr>
        <w:t>itten submissions on the matter.</w:t>
      </w:r>
      <w:r w:rsidR="007B1608" w:rsidRPr="000B2DBE">
        <w:rPr>
          <w:sz w:val="20"/>
          <w:szCs w:val="20"/>
          <w:lang w:val="cy-GB"/>
        </w:rPr>
        <w:t xml:space="preserve"> The plaintiff’s Counsel ignored the court’s directives and filed unsworn witness statements</w:t>
      </w:r>
      <w:r w:rsidR="008519AD" w:rsidRPr="000B2DBE">
        <w:rPr>
          <w:sz w:val="20"/>
          <w:szCs w:val="20"/>
          <w:lang w:val="cy-GB"/>
        </w:rPr>
        <w:t xml:space="preserve"> together with their written submissions. This court dismissed the suit on grounds that the evidence in form of unsworn witn</w:t>
      </w:r>
      <w:r w:rsidR="001847E5" w:rsidRPr="000B2DBE">
        <w:rPr>
          <w:sz w:val="20"/>
          <w:szCs w:val="20"/>
          <w:lang w:val="cy-GB"/>
        </w:rPr>
        <w:t>ess statements was not credible. This court also observed that</w:t>
      </w:r>
      <w:r w:rsidR="008519AD" w:rsidRPr="000B2DBE">
        <w:rPr>
          <w:sz w:val="20"/>
          <w:szCs w:val="20"/>
          <w:lang w:val="cy-GB"/>
        </w:rPr>
        <w:t xml:space="preserve"> </w:t>
      </w:r>
      <w:r w:rsidR="001847E5" w:rsidRPr="000B2DBE">
        <w:rPr>
          <w:sz w:val="20"/>
          <w:szCs w:val="20"/>
          <w:lang w:val="cy-GB"/>
        </w:rPr>
        <w:t xml:space="preserve">it was </w:t>
      </w:r>
      <w:r w:rsidR="008519AD" w:rsidRPr="000B2DBE">
        <w:rPr>
          <w:sz w:val="20"/>
          <w:szCs w:val="20"/>
          <w:lang w:val="cy-GB"/>
        </w:rPr>
        <w:t>an abuse of court process</w:t>
      </w:r>
      <w:r w:rsidR="001847E5" w:rsidRPr="000B2DBE">
        <w:rPr>
          <w:sz w:val="20"/>
          <w:szCs w:val="20"/>
          <w:lang w:val="cy-GB"/>
        </w:rPr>
        <w:t xml:space="preserve"> for the plaintiffs’ Counsel</w:t>
      </w:r>
      <w:r w:rsidR="008519AD" w:rsidRPr="000B2DBE">
        <w:rPr>
          <w:sz w:val="20"/>
          <w:szCs w:val="20"/>
          <w:lang w:val="cy-GB"/>
        </w:rPr>
        <w:t xml:space="preserve"> to file unsworn statements against court’s directives.</w:t>
      </w:r>
      <w:r w:rsidRPr="000B2DBE">
        <w:rPr>
          <w:sz w:val="20"/>
          <w:szCs w:val="20"/>
          <w:lang w:val="cy-GB"/>
        </w:rPr>
        <w:t xml:space="preserve"> </w:t>
      </w:r>
      <w:r w:rsidR="00303787" w:rsidRPr="000B2DBE">
        <w:rPr>
          <w:sz w:val="20"/>
          <w:szCs w:val="20"/>
          <w:lang w:val="cy-GB"/>
        </w:rPr>
        <w:t>The applicant</w:t>
      </w:r>
      <w:r w:rsidR="004A1F69" w:rsidRPr="000B2DBE">
        <w:rPr>
          <w:sz w:val="20"/>
          <w:szCs w:val="20"/>
          <w:lang w:val="cy-GB"/>
        </w:rPr>
        <w:t>s seek</w:t>
      </w:r>
      <w:r w:rsidR="008519AD" w:rsidRPr="000B2DBE">
        <w:rPr>
          <w:sz w:val="20"/>
          <w:szCs w:val="20"/>
          <w:lang w:val="cy-GB"/>
        </w:rPr>
        <w:t xml:space="preserve"> this court to review its decision and </w:t>
      </w:r>
      <w:r w:rsidR="00303787" w:rsidRPr="000B2DBE">
        <w:rPr>
          <w:sz w:val="20"/>
          <w:szCs w:val="20"/>
          <w:lang w:val="cy-GB"/>
        </w:rPr>
        <w:t>set aside the judgement and decree.</w:t>
      </w:r>
    </w:p>
    <w:p w:rsidR="00714EA4" w:rsidRPr="000B2DBE" w:rsidRDefault="00714EA4" w:rsidP="00303787">
      <w:pPr>
        <w:jc w:val="both"/>
        <w:rPr>
          <w:sz w:val="20"/>
          <w:szCs w:val="20"/>
          <w:lang w:val="cy-GB"/>
        </w:rPr>
      </w:pPr>
    </w:p>
    <w:p w:rsidR="007B54D6" w:rsidRPr="000B2DBE" w:rsidRDefault="007B54D6" w:rsidP="007B54D6">
      <w:pPr>
        <w:jc w:val="both"/>
        <w:rPr>
          <w:sz w:val="20"/>
          <w:szCs w:val="20"/>
          <w:lang w:val="cy-GB"/>
        </w:rPr>
      </w:pPr>
      <w:r w:rsidRPr="000B2DBE">
        <w:rPr>
          <w:sz w:val="20"/>
          <w:szCs w:val="20"/>
          <w:lang w:val="cy-GB"/>
        </w:rPr>
        <w:lastRenderedPageBreak/>
        <w:t>Counsel for the applicants invoked section 33 of the Judicature Act and section 98 of the Civil Procedure Act to have the judgement set aside. These provisions apply generally to all matters and are normally resorted to when there are no direct provisions on the remedy sought. There are direct provisions for review of court judgements and decrees  under Order 46 of the Civil Procedure Rules, but the applicant’s Counsel never mentioned them</w:t>
      </w:r>
      <w:r w:rsidR="00D4046C" w:rsidRPr="000B2DBE">
        <w:rPr>
          <w:sz w:val="20"/>
          <w:szCs w:val="20"/>
          <w:lang w:val="cy-GB"/>
        </w:rPr>
        <w:t>. Instead, they</w:t>
      </w:r>
      <w:r w:rsidRPr="000B2DBE">
        <w:rPr>
          <w:sz w:val="20"/>
          <w:szCs w:val="20"/>
          <w:lang w:val="cy-GB"/>
        </w:rPr>
        <w:t xml:space="preserve"> invoked </w:t>
      </w:r>
      <w:r w:rsidR="00637DE2" w:rsidRPr="000B2DBE">
        <w:rPr>
          <w:sz w:val="20"/>
          <w:szCs w:val="20"/>
          <w:lang w:val="cy-GB"/>
        </w:rPr>
        <w:t>general discretionary provisions</w:t>
      </w:r>
      <w:r w:rsidRPr="000B2DBE">
        <w:rPr>
          <w:sz w:val="20"/>
          <w:szCs w:val="20"/>
          <w:lang w:val="cy-GB"/>
        </w:rPr>
        <w:t>. Nevertheless I will proceed to consider the application on the merits.</w:t>
      </w:r>
    </w:p>
    <w:p w:rsidR="007B54D6" w:rsidRPr="000B2DBE" w:rsidRDefault="007B54D6" w:rsidP="007B54D6">
      <w:pPr>
        <w:jc w:val="both"/>
        <w:rPr>
          <w:sz w:val="20"/>
          <w:szCs w:val="20"/>
          <w:lang w:val="cy-GB"/>
        </w:rPr>
      </w:pPr>
    </w:p>
    <w:p w:rsidR="004B1850" w:rsidRPr="000B2DBE" w:rsidRDefault="00907AA5" w:rsidP="00303787">
      <w:pPr>
        <w:jc w:val="both"/>
        <w:rPr>
          <w:b/>
          <w:sz w:val="20"/>
          <w:szCs w:val="20"/>
          <w:lang w:val="cy-GB"/>
        </w:rPr>
      </w:pPr>
      <w:r w:rsidRPr="000B2DBE">
        <w:rPr>
          <w:sz w:val="20"/>
          <w:szCs w:val="20"/>
          <w:lang w:val="cy-GB"/>
        </w:rPr>
        <w:t>Th</w:t>
      </w:r>
      <w:r w:rsidR="00B864CB" w:rsidRPr="000B2DBE">
        <w:rPr>
          <w:sz w:val="20"/>
          <w:szCs w:val="20"/>
          <w:lang w:val="cy-GB"/>
        </w:rPr>
        <w:t>is</w:t>
      </w:r>
      <w:r w:rsidRPr="000B2DBE">
        <w:rPr>
          <w:sz w:val="20"/>
          <w:szCs w:val="20"/>
          <w:lang w:val="cy-GB"/>
        </w:rPr>
        <w:t xml:space="preserve"> application an</w:t>
      </w:r>
      <w:r w:rsidR="00B864CB" w:rsidRPr="000B2DBE">
        <w:rPr>
          <w:sz w:val="20"/>
          <w:szCs w:val="20"/>
          <w:lang w:val="cy-GB"/>
        </w:rPr>
        <w:t xml:space="preserve">d its supporting affidavit give </w:t>
      </w:r>
      <w:r w:rsidRPr="000B2DBE">
        <w:rPr>
          <w:sz w:val="20"/>
          <w:szCs w:val="20"/>
          <w:lang w:val="cy-GB"/>
        </w:rPr>
        <w:t>the impression that the suit was dismi</w:t>
      </w:r>
      <w:r w:rsidR="00C96323" w:rsidRPr="000B2DBE">
        <w:rPr>
          <w:sz w:val="20"/>
          <w:szCs w:val="20"/>
          <w:lang w:val="cy-GB"/>
        </w:rPr>
        <w:t xml:space="preserve">ssed because of the applicant’s </w:t>
      </w:r>
      <w:r w:rsidR="004B1850" w:rsidRPr="000B2DBE">
        <w:rPr>
          <w:sz w:val="20"/>
          <w:szCs w:val="20"/>
          <w:lang w:val="cy-GB"/>
        </w:rPr>
        <w:t xml:space="preserve">Counsel’s not exercising due </w:t>
      </w:r>
      <w:r w:rsidRPr="000B2DBE">
        <w:rPr>
          <w:sz w:val="20"/>
          <w:szCs w:val="20"/>
          <w:lang w:val="cy-GB"/>
        </w:rPr>
        <w:t xml:space="preserve">diligence when he filed unsworn witness statements contrary to what this court had directed. </w:t>
      </w:r>
      <w:r w:rsidR="005D66DE" w:rsidRPr="000B2DBE">
        <w:rPr>
          <w:sz w:val="20"/>
          <w:szCs w:val="20"/>
          <w:lang w:val="cy-GB"/>
        </w:rPr>
        <w:t>With respect</w:t>
      </w:r>
      <w:r w:rsidR="0049357E" w:rsidRPr="000B2DBE">
        <w:rPr>
          <w:sz w:val="20"/>
          <w:szCs w:val="20"/>
          <w:lang w:val="cy-GB"/>
        </w:rPr>
        <w:t>, though court noted that</w:t>
      </w:r>
      <w:r w:rsidR="008F70F1" w:rsidRPr="000B2DBE">
        <w:rPr>
          <w:sz w:val="20"/>
          <w:szCs w:val="20"/>
          <w:lang w:val="cy-GB"/>
        </w:rPr>
        <w:t xml:space="preserve"> the conduct of the plaintiffs’ </w:t>
      </w:r>
      <w:r w:rsidR="0049357E" w:rsidRPr="000B2DBE">
        <w:rPr>
          <w:sz w:val="20"/>
          <w:szCs w:val="20"/>
          <w:lang w:val="cy-GB"/>
        </w:rPr>
        <w:t>Counsel in filing unsworn witness statements contrary to court’s directives was not prudent and an abuse of court process and accordingly condemned him in costs,</w:t>
      </w:r>
      <w:r w:rsidRPr="000B2DBE">
        <w:rPr>
          <w:sz w:val="20"/>
          <w:szCs w:val="20"/>
          <w:lang w:val="cy-GB"/>
        </w:rPr>
        <w:t xml:space="preserve"> that</w:t>
      </w:r>
      <w:r w:rsidR="0049357E" w:rsidRPr="000B2DBE">
        <w:rPr>
          <w:sz w:val="20"/>
          <w:szCs w:val="20"/>
          <w:lang w:val="cy-GB"/>
        </w:rPr>
        <w:t xml:space="preserve"> was not the basis of dismissing the suit.</w:t>
      </w:r>
      <w:r w:rsidRPr="000B2DBE">
        <w:rPr>
          <w:sz w:val="20"/>
          <w:szCs w:val="20"/>
          <w:lang w:val="cy-GB"/>
        </w:rPr>
        <w:t xml:space="preserve"> </w:t>
      </w:r>
      <w:r w:rsidR="0049357E" w:rsidRPr="000B2DBE">
        <w:rPr>
          <w:sz w:val="20"/>
          <w:szCs w:val="20"/>
          <w:lang w:val="cy-GB"/>
        </w:rPr>
        <w:t>T</w:t>
      </w:r>
      <w:r w:rsidRPr="000B2DBE">
        <w:rPr>
          <w:sz w:val="20"/>
          <w:szCs w:val="20"/>
          <w:lang w:val="cy-GB"/>
        </w:rPr>
        <w:t>he</w:t>
      </w:r>
      <w:r w:rsidR="0049357E" w:rsidRPr="000B2DBE">
        <w:rPr>
          <w:sz w:val="20"/>
          <w:szCs w:val="20"/>
          <w:lang w:val="cy-GB"/>
        </w:rPr>
        <w:t xml:space="preserve"> basis of dismissing the suit, as is stated in the judgement was because the evidence</w:t>
      </w:r>
      <w:r w:rsidR="0095448A" w:rsidRPr="000B2DBE">
        <w:rPr>
          <w:sz w:val="20"/>
          <w:szCs w:val="20"/>
          <w:lang w:val="cy-GB"/>
        </w:rPr>
        <w:t xml:space="preserve"> </w:t>
      </w:r>
      <w:r w:rsidR="0049357E" w:rsidRPr="000B2DBE">
        <w:rPr>
          <w:sz w:val="20"/>
          <w:szCs w:val="20"/>
          <w:lang w:val="cy-GB"/>
        </w:rPr>
        <w:t xml:space="preserve">as it was, in form of unsworn witness statements, was not credible to lead to a judgement in favour of the plaintiffs. This was after court noted that even where a suit proceeds </w:t>
      </w:r>
      <w:r w:rsidR="0049357E" w:rsidRPr="000B2DBE">
        <w:rPr>
          <w:i/>
          <w:sz w:val="20"/>
          <w:szCs w:val="20"/>
          <w:lang w:val="cy-GB"/>
        </w:rPr>
        <w:t>ex parte</w:t>
      </w:r>
      <w:r w:rsidR="0049357E" w:rsidRPr="000B2DBE">
        <w:rPr>
          <w:sz w:val="20"/>
          <w:szCs w:val="20"/>
          <w:lang w:val="cy-GB"/>
        </w:rPr>
        <w:t xml:space="preserve"> the burden to prove a case to the requisite standards still remains on the part of the plaintiff.</w:t>
      </w:r>
      <w:r w:rsidR="00341CDB" w:rsidRPr="000B2DBE">
        <w:rPr>
          <w:sz w:val="20"/>
          <w:szCs w:val="20"/>
          <w:lang w:val="cy-GB"/>
        </w:rPr>
        <w:t xml:space="preserve"> See </w:t>
      </w:r>
      <w:r w:rsidR="00341CDB" w:rsidRPr="000B2DBE">
        <w:rPr>
          <w:b/>
          <w:sz w:val="20"/>
          <w:szCs w:val="20"/>
          <w:lang w:val="cy-GB"/>
        </w:rPr>
        <w:t>Yoswa Kityo V Eriya Kaddu [1982] HCB 58</w:t>
      </w:r>
      <w:r w:rsidR="00282B35" w:rsidRPr="000B2DBE">
        <w:rPr>
          <w:b/>
          <w:sz w:val="20"/>
          <w:szCs w:val="20"/>
          <w:lang w:val="cy-GB"/>
        </w:rPr>
        <w:t>.</w:t>
      </w:r>
    </w:p>
    <w:p w:rsidR="004B1850" w:rsidRPr="000B2DBE" w:rsidRDefault="004B1850" w:rsidP="00303787">
      <w:pPr>
        <w:jc w:val="both"/>
        <w:rPr>
          <w:sz w:val="20"/>
          <w:szCs w:val="20"/>
          <w:lang w:val="cy-GB"/>
        </w:rPr>
      </w:pPr>
    </w:p>
    <w:p w:rsidR="00B864CB" w:rsidRPr="000B2DBE" w:rsidRDefault="00B864CB" w:rsidP="00303787">
      <w:pPr>
        <w:jc w:val="both"/>
        <w:rPr>
          <w:sz w:val="20"/>
          <w:szCs w:val="20"/>
          <w:lang w:val="cy-GB"/>
        </w:rPr>
      </w:pPr>
      <w:r w:rsidRPr="000B2DBE">
        <w:rPr>
          <w:sz w:val="20"/>
          <w:szCs w:val="20"/>
          <w:lang w:val="cy-GB"/>
        </w:rPr>
        <w:t xml:space="preserve">When the plaintiffs filed their statements, they did so as court witnesses. </w:t>
      </w:r>
      <w:r w:rsidR="004B1850" w:rsidRPr="000B2DBE">
        <w:rPr>
          <w:b/>
          <w:sz w:val="20"/>
          <w:szCs w:val="20"/>
          <w:lang w:val="cy-GB"/>
        </w:rPr>
        <w:t>Black’s Law Dictionary, 6</w:t>
      </w:r>
      <w:r w:rsidR="004B1850" w:rsidRPr="000B2DBE">
        <w:rPr>
          <w:b/>
          <w:sz w:val="20"/>
          <w:szCs w:val="20"/>
          <w:vertAlign w:val="superscript"/>
          <w:lang w:val="cy-GB"/>
        </w:rPr>
        <w:t xml:space="preserve">th </w:t>
      </w:r>
      <w:r w:rsidR="004B1850" w:rsidRPr="000B2DBE">
        <w:rPr>
          <w:b/>
          <w:sz w:val="20"/>
          <w:szCs w:val="20"/>
          <w:lang w:val="cy-GB"/>
        </w:rPr>
        <w:t xml:space="preserve">edition at page 1063 </w:t>
      </w:r>
      <w:r w:rsidR="004B1850" w:rsidRPr="000B2DBE">
        <w:rPr>
          <w:sz w:val="20"/>
          <w:szCs w:val="20"/>
          <w:lang w:val="cy-GB"/>
        </w:rPr>
        <w:t>defines a witness as a person whose declaration under oath or affirmation is received as evidence for any purpose, whether it is made on oral examination or by deposition or affidavit.</w:t>
      </w:r>
    </w:p>
    <w:p w:rsidR="00034AA8" w:rsidRPr="000B2DBE" w:rsidRDefault="00034AA8" w:rsidP="00303787">
      <w:pPr>
        <w:jc w:val="both"/>
        <w:rPr>
          <w:sz w:val="20"/>
          <w:szCs w:val="20"/>
          <w:lang w:val="cy-GB"/>
        </w:rPr>
      </w:pPr>
    </w:p>
    <w:p w:rsidR="006959E1" w:rsidRPr="000B2DBE" w:rsidRDefault="00B864CB" w:rsidP="00303787">
      <w:pPr>
        <w:jc w:val="both"/>
        <w:rPr>
          <w:sz w:val="20"/>
          <w:szCs w:val="20"/>
          <w:lang w:val="cy-GB"/>
        </w:rPr>
      </w:pPr>
      <w:r w:rsidRPr="000B2DBE">
        <w:rPr>
          <w:sz w:val="20"/>
          <w:szCs w:val="20"/>
          <w:lang w:val="cy-GB"/>
        </w:rPr>
        <w:t>T</w:t>
      </w:r>
      <w:r w:rsidR="00C96323" w:rsidRPr="000B2DBE">
        <w:rPr>
          <w:sz w:val="20"/>
          <w:szCs w:val="20"/>
          <w:lang w:val="cy-GB"/>
        </w:rPr>
        <w:t xml:space="preserve">his </w:t>
      </w:r>
      <w:r w:rsidR="002C5241" w:rsidRPr="000B2DBE">
        <w:rPr>
          <w:sz w:val="20"/>
          <w:szCs w:val="20"/>
          <w:lang w:val="cy-GB"/>
        </w:rPr>
        <w:t xml:space="preserve">is </w:t>
      </w:r>
      <w:r w:rsidR="0095448A" w:rsidRPr="000B2DBE">
        <w:rPr>
          <w:sz w:val="20"/>
          <w:szCs w:val="20"/>
          <w:lang w:val="cy-GB"/>
        </w:rPr>
        <w:t xml:space="preserve">in line with section </w:t>
      </w:r>
      <w:r w:rsidR="00AF3248" w:rsidRPr="000B2DBE">
        <w:rPr>
          <w:sz w:val="20"/>
          <w:szCs w:val="20"/>
          <w:lang w:val="cy-GB"/>
        </w:rPr>
        <w:t xml:space="preserve">101 of the Evidence Act which requires whoever desires to court to give judgement as to any legal right or liability on the existance of facts he/she asserts must prove that those facts exist. </w:t>
      </w:r>
      <w:r w:rsidR="00690CE8" w:rsidRPr="000B2DBE">
        <w:rPr>
          <w:sz w:val="20"/>
          <w:szCs w:val="20"/>
          <w:lang w:val="cy-GB"/>
        </w:rPr>
        <w:t>T</w:t>
      </w:r>
      <w:r w:rsidR="00AF3248" w:rsidRPr="000B2DBE">
        <w:rPr>
          <w:sz w:val="20"/>
          <w:szCs w:val="20"/>
          <w:lang w:val="cy-GB"/>
        </w:rPr>
        <w:t>his should be read together with section 10 of the Oaths Act which provides that no judgement shall be given upon the uncorroborated evidence of a person who shall have given his or her evidence without oath or affirmation.</w:t>
      </w:r>
      <w:r w:rsidR="004B1850" w:rsidRPr="000B2DBE">
        <w:rPr>
          <w:sz w:val="20"/>
          <w:szCs w:val="20"/>
          <w:lang w:val="cy-GB"/>
        </w:rPr>
        <w:t xml:space="preserve"> </w:t>
      </w:r>
      <w:r w:rsidR="006959E1" w:rsidRPr="000B2DBE">
        <w:rPr>
          <w:sz w:val="20"/>
          <w:szCs w:val="20"/>
          <w:lang w:val="cy-GB"/>
        </w:rPr>
        <w:t>In a nutshell the plaintiffs did not discharge their burden of proof since their unsworn statements were not admissible.</w:t>
      </w:r>
      <w:r w:rsidR="00D1027B" w:rsidRPr="000B2DBE">
        <w:rPr>
          <w:sz w:val="20"/>
          <w:szCs w:val="20"/>
          <w:lang w:val="cy-GB"/>
        </w:rPr>
        <w:t xml:space="preserve"> These were the grounds upon which this court dismissed the plaintiff’s claim</w:t>
      </w:r>
      <w:r w:rsidR="008927C4" w:rsidRPr="000B2DBE">
        <w:rPr>
          <w:sz w:val="20"/>
          <w:szCs w:val="20"/>
          <w:lang w:val="cy-GB"/>
        </w:rPr>
        <w:t>.</w:t>
      </w:r>
    </w:p>
    <w:p w:rsidR="008927C4" w:rsidRPr="000B2DBE" w:rsidRDefault="008927C4" w:rsidP="00303787">
      <w:pPr>
        <w:jc w:val="both"/>
        <w:rPr>
          <w:sz w:val="20"/>
          <w:szCs w:val="20"/>
          <w:lang w:val="cy-GB"/>
        </w:rPr>
      </w:pPr>
    </w:p>
    <w:p w:rsidR="000B51C6" w:rsidRPr="000B2DBE" w:rsidRDefault="000B51C6" w:rsidP="00303787">
      <w:pPr>
        <w:jc w:val="both"/>
        <w:rPr>
          <w:sz w:val="20"/>
          <w:szCs w:val="20"/>
          <w:lang w:val="cy-GB"/>
        </w:rPr>
      </w:pPr>
    </w:p>
    <w:p w:rsidR="008F3F74" w:rsidRPr="000B2DBE" w:rsidRDefault="001243E7" w:rsidP="00303787">
      <w:pPr>
        <w:jc w:val="both"/>
        <w:rPr>
          <w:sz w:val="20"/>
          <w:szCs w:val="20"/>
          <w:lang w:val="cy-GB"/>
        </w:rPr>
      </w:pPr>
      <w:r w:rsidRPr="000B2DBE">
        <w:rPr>
          <w:sz w:val="20"/>
          <w:szCs w:val="20"/>
          <w:lang w:val="cy-GB"/>
        </w:rPr>
        <w:t>Lastly, I note that s</w:t>
      </w:r>
      <w:r w:rsidR="000B51C6" w:rsidRPr="000B2DBE">
        <w:rPr>
          <w:sz w:val="20"/>
          <w:szCs w:val="20"/>
          <w:lang w:val="cy-GB"/>
        </w:rPr>
        <w:t>ection 33 of the Judicature Act empowers court to grant absolutely or on such terms and conditions as it thinks fit all such remedies</w:t>
      </w:r>
      <w:r w:rsidR="004422BB" w:rsidRPr="000B2DBE">
        <w:rPr>
          <w:sz w:val="20"/>
          <w:szCs w:val="20"/>
          <w:lang w:val="cy-GB"/>
        </w:rPr>
        <w:t xml:space="preserve"> as any of the parties to a cause or matter is entitled to in respect of any legal or e</w:t>
      </w:r>
      <w:r w:rsidR="00620A3F" w:rsidRPr="000B2DBE">
        <w:rPr>
          <w:sz w:val="20"/>
          <w:szCs w:val="20"/>
          <w:lang w:val="cy-GB"/>
        </w:rPr>
        <w:t>quitable clai</w:t>
      </w:r>
      <w:r w:rsidR="004422BB" w:rsidRPr="000B2DBE">
        <w:rPr>
          <w:sz w:val="20"/>
          <w:szCs w:val="20"/>
          <w:lang w:val="cy-GB"/>
        </w:rPr>
        <w:t>m properly brought before it, so that as far as possible all matters in controversy are completely and finally determined and multiplicity of proceedings are avoided.</w:t>
      </w:r>
      <w:r w:rsidR="00B715DB" w:rsidRPr="000B2DBE">
        <w:rPr>
          <w:sz w:val="20"/>
          <w:szCs w:val="20"/>
          <w:lang w:val="cy-GB"/>
        </w:rPr>
        <w:t xml:space="preserve"> Section </w:t>
      </w:r>
      <w:r w:rsidR="000B51C6" w:rsidRPr="000B2DBE">
        <w:rPr>
          <w:sz w:val="20"/>
          <w:szCs w:val="20"/>
          <w:lang w:val="cy-GB"/>
        </w:rPr>
        <w:t>98 of the Civil Procedure Act</w:t>
      </w:r>
      <w:r w:rsidR="00B715DB" w:rsidRPr="000B2DBE">
        <w:rPr>
          <w:sz w:val="20"/>
          <w:szCs w:val="20"/>
          <w:lang w:val="cy-GB"/>
        </w:rPr>
        <w:t xml:space="preserve"> saves the inherent powers of court to make such orders as may be necessary for the ends of justice or to prevent abuse of the process of court. </w:t>
      </w:r>
      <w:r w:rsidR="002E37A8" w:rsidRPr="000B2DBE">
        <w:rPr>
          <w:sz w:val="20"/>
          <w:szCs w:val="20"/>
          <w:lang w:val="cy-GB"/>
        </w:rPr>
        <w:t>The exercise of inherent powers by court is a matter within the discretion of the court.</w:t>
      </w:r>
      <w:r w:rsidR="00A13766" w:rsidRPr="000B2DBE">
        <w:rPr>
          <w:sz w:val="20"/>
          <w:szCs w:val="20"/>
          <w:lang w:val="cy-GB"/>
        </w:rPr>
        <w:t xml:space="preserve"> In the exercise of this discretion, the court must act judiciously and according to settled principles, bearing in mind that the decision to make must be based upon common sense and justice. The court has to look at all circumstances of the case.</w:t>
      </w:r>
      <w:r w:rsidR="008F3F74" w:rsidRPr="000B2DBE">
        <w:rPr>
          <w:sz w:val="20"/>
          <w:szCs w:val="20"/>
          <w:lang w:val="cy-GB"/>
        </w:rPr>
        <w:t xml:space="preserve"> See </w:t>
      </w:r>
      <w:r w:rsidR="008F3F74" w:rsidRPr="000B2DBE">
        <w:rPr>
          <w:b/>
          <w:sz w:val="20"/>
          <w:szCs w:val="20"/>
          <w:lang w:val="cy-GB"/>
        </w:rPr>
        <w:t>Standard Chartered Bank of Uganda V Ben Kavuya &amp; Barclays Bank Ltd [2006] HCB Vol. 1 134.</w:t>
      </w:r>
    </w:p>
    <w:p w:rsidR="008F3F74" w:rsidRPr="000B2DBE" w:rsidRDefault="008F3F74" w:rsidP="00303787">
      <w:pPr>
        <w:jc w:val="both"/>
        <w:rPr>
          <w:sz w:val="20"/>
          <w:szCs w:val="20"/>
          <w:lang w:val="cy-GB"/>
        </w:rPr>
      </w:pPr>
    </w:p>
    <w:p w:rsidR="00BA4D91" w:rsidRPr="000B2DBE" w:rsidRDefault="008F3F74" w:rsidP="00303787">
      <w:pPr>
        <w:jc w:val="both"/>
        <w:rPr>
          <w:sz w:val="20"/>
          <w:szCs w:val="20"/>
          <w:lang w:val="cy-GB"/>
        </w:rPr>
      </w:pPr>
      <w:r w:rsidRPr="000B2DBE">
        <w:rPr>
          <w:sz w:val="20"/>
          <w:szCs w:val="20"/>
          <w:lang w:val="cy-GB"/>
        </w:rPr>
        <w:t>In</w:t>
      </w:r>
      <w:r w:rsidR="00C41B6D" w:rsidRPr="000B2DBE">
        <w:rPr>
          <w:sz w:val="20"/>
          <w:szCs w:val="20"/>
          <w:lang w:val="cy-GB"/>
        </w:rPr>
        <w:t xml:space="preserve"> this case, the court based its decisions based on</w:t>
      </w:r>
      <w:r w:rsidR="00693063" w:rsidRPr="000B2DBE">
        <w:rPr>
          <w:sz w:val="20"/>
          <w:szCs w:val="20"/>
          <w:lang w:val="cy-GB"/>
        </w:rPr>
        <w:t xml:space="preserve"> the interpretation of</w:t>
      </w:r>
      <w:r w:rsidR="00C41B6D" w:rsidRPr="000B2DBE">
        <w:rPr>
          <w:sz w:val="20"/>
          <w:szCs w:val="20"/>
          <w:lang w:val="cy-GB"/>
        </w:rPr>
        <w:t xml:space="preserve"> the specific laws of evidence</w:t>
      </w:r>
      <w:r w:rsidR="00693063" w:rsidRPr="000B2DBE">
        <w:rPr>
          <w:sz w:val="20"/>
          <w:szCs w:val="20"/>
          <w:lang w:val="cy-GB"/>
        </w:rPr>
        <w:t xml:space="preserve"> outlined above</w:t>
      </w:r>
      <w:r w:rsidR="0071323B" w:rsidRPr="000B2DBE">
        <w:rPr>
          <w:sz w:val="20"/>
          <w:szCs w:val="20"/>
          <w:lang w:val="cy-GB"/>
        </w:rPr>
        <w:t xml:space="preserve">. </w:t>
      </w:r>
      <w:r w:rsidR="00C41B6D" w:rsidRPr="000B2DBE">
        <w:rPr>
          <w:sz w:val="20"/>
          <w:szCs w:val="20"/>
          <w:lang w:val="cy-GB"/>
        </w:rPr>
        <w:t xml:space="preserve">In that respect, </w:t>
      </w:r>
      <w:r w:rsidRPr="000B2DBE">
        <w:rPr>
          <w:sz w:val="20"/>
          <w:szCs w:val="20"/>
          <w:lang w:val="cy-GB"/>
        </w:rPr>
        <w:t>I decline to</w:t>
      </w:r>
      <w:r w:rsidR="002575BF" w:rsidRPr="000B2DBE">
        <w:rPr>
          <w:sz w:val="20"/>
          <w:szCs w:val="20"/>
          <w:lang w:val="cy-GB"/>
        </w:rPr>
        <w:t xml:space="preserve"> review or</w:t>
      </w:r>
      <w:r w:rsidRPr="000B2DBE">
        <w:rPr>
          <w:sz w:val="20"/>
          <w:szCs w:val="20"/>
          <w:lang w:val="cy-GB"/>
        </w:rPr>
        <w:t xml:space="preserve"> set this judgement aside.</w:t>
      </w:r>
      <w:r w:rsidR="006959E1" w:rsidRPr="000B2DBE">
        <w:rPr>
          <w:sz w:val="20"/>
          <w:szCs w:val="20"/>
          <w:lang w:val="cy-GB"/>
        </w:rPr>
        <w:t xml:space="preserve"> </w:t>
      </w:r>
      <w:r w:rsidR="00907AA5" w:rsidRPr="000B2DBE">
        <w:rPr>
          <w:sz w:val="20"/>
          <w:szCs w:val="20"/>
          <w:lang w:val="cy-GB"/>
        </w:rPr>
        <w:t xml:space="preserve"> </w:t>
      </w:r>
    </w:p>
    <w:p w:rsidR="0081183F" w:rsidRPr="000B2DBE" w:rsidRDefault="0081183F" w:rsidP="00303787">
      <w:pPr>
        <w:jc w:val="both"/>
        <w:rPr>
          <w:sz w:val="20"/>
          <w:szCs w:val="20"/>
          <w:lang w:val="cy-GB"/>
        </w:rPr>
      </w:pPr>
    </w:p>
    <w:p w:rsidR="0081183F" w:rsidRPr="000B2DBE" w:rsidRDefault="0081183F" w:rsidP="0081183F">
      <w:pPr>
        <w:jc w:val="both"/>
        <w:rPr>
          <w:sz w:val="20"/>
          <w:szCs w:val="20"/>
          <w:lang w:val="cy-GB"/>
        </w:rPr>
      </w:pPr>
      <w:r w:rsidRPr="000B2DBE">
        <w:rPr>
          <w:b/>
          <w:sz w:val="20"/>
          <w:szCs w:val="20"/>
          <w:lang w:val="cy-GB"/>
        </w:rPr>
        <w:t xml:space="preserve">Dated at Kampala </w:t>
      </w:r>
      <w:r w:rsidRPr="000B2DBE">
        <w:rPr>
          <w:sz w:val="20"/>
          <w:szCs w:val="20"/>
          <w:lang w:val="cy-GB"/>
        </w:rPr>
        <w:t>this 6</w:t>
      </w:r>
      <w:r w:rsidRPr="000B2DBE">
        <w:rPr>
          <w:sz w:val="20"/>
          <w:szCs w:val="20"/>
          <w:vertAlign w:val="superscript"/>
          <w:lang w:val="cy-GB"/>
        </w:rPr>
        <w:t xml:space="preserve">th </w:t>
      </w:r>
      <w:r w:rsidRPr="000B2DBE">
        <w:rPr>
          <w:sz w:val="20"/>
          <w:szCs w:val="20"/>
          <w:lang w:val="cy-GB"/>
        </w:rPr>
        <w:t xml:space="preserve">day of </w:t>
      </w:r>
      <w:r w:rsidR="00341CDB" w:rsidRPr="000B2DBE">
        <w:rPr>
          <w:sz w:val="20"/>
          <w:szCs w:val="20"/>
          <w:lang w:val="cy-GB"/>
        </w:rPr>
        <w:t>June</w:t>
      </w:r>
      <w:r w:rsidR="009D0512" w:rsidRPr="000B2DBE">
        <w:rPr>
          <w:sz w:val="20"/>
          <w:szCs w:val="20"/>
          <w:lang w:val="cy-GB"/>
        </w:rPr>
        <w:t xml:space="preserve"> 2013</w:t>
      </w:r>
      <w:r w:rsidRPr="000B2DBE">
        <w:rPr>
          <w:sz w:val="20"/>
          <w:szCs w:val="20"/>
          <w:lang w:val="cy-GB"/>
        </w:rPr>
        <w:t>.</w:t>
      </w:r>
    </w:p>
    <w:p w:rsidR="0081183F" w:rsidRPr="000B2DBE" w:rsidRDefault="0081183F" w:rsidP="0081183F">
      <w:pPr>
        <w:jc w:val="both"/>
        <w:rPr>
          <w:sz w:val="20"/>
          <w:szCs w:val="20"/>
          <w:lang w:val="cy-GB"/>
        </w:rPr>
      </w:pPr>
    </w:p>
    <w:p w:rsidR="0081183F" w:rsidRPr="000B2DBE" w:rsidRDefault="00F645F8" w:rsidP="0081183F">
      <w:pPr>
        <w:jc w:val="both"/>
        <w:rPr>
          <w:sz w:val="20"/>
          <w:szCs w:val="20"/>
          <w:lang w:val="cy-GB"/>
        </w:rPr>
      </w:pPr>
      <w:r w:rsidRPr="000B2DBE">
        <w:rPr>
          <w:sz w:val="20"/>
          <w:szCs w:val="20"/>
          <w:lang w:val="cy-GB"/>
        </w:rPr>
        <w:t>Percy Night Tuhaise</w:t>
      </w:r>
    </w:p>
    <w:p w:rsidR="00F645F8" w:rsidRPr="000B2DBE" w:rsidRDefault="00671E16" w:rsidP="0081183F">
      <w:pPr>
        <w:jc w:val="both"/>
        <w:rPr>
          <w:b/>
          <w:sz w:val="20"/>
          <w:szCs w:val="20"/>
          <w:lang w:val="cy-GB"/>
        </w:rPr>
      </w:pPr>
      <w:r w:rsidRPr="000B2DBE">
        <w:rPr>
          <w:b/>
          <w:sz w:val="20"/>
          <w:szCs w:val="20"/>
          <w:lang w:val="cy-GB"/>
        </w:rPr>
        <w:t>JUDGE</w:t>
      </w:r>
      <w:r w:rsidR="00F645F8" w:rsidRPr="000B2DBE">
        <w:rPr>
          <w:b/>
          <w:sz w:val="20"/>
          <w:szCs w:val="20"/>
          <w:lang w:val="cy-GB"/>
        </w:rPr>
        <w:t>.</w:t>
      </w:r>
    </w:p>
    <w:p w:rsidR="0081183F" w:rsidRPr="000B2DBE" w:rsidRDefault="0081183F" w:rsidP="0081183F">
      <w:pPr>
        <w:jc w:val="both"/>
        <w:rPr>
          <w:b/>
          <w:sz w:val="20"/>
          <w:szCs w:val="20"/>
          <w:lang w:val="cy-GB"/>
        </w:rPr>
      </w:pPr>
    </w:p>
    <w:p w:rsidR="00197E3C" w:rsidRPr="000B2DBE" w:rsidRDefault="0081183F" w:rsidP="00303787">
      <w:pPr>
        <w:jc w:val="both"/>
        <w:rPr>
          <w:sz w:val="20"/>
          <w:szCs w:val="20"/>
          <w:lang w:val="cy-GB"/>
        </w:rPr>
      </w:pPr>
      <w:r w:rsidRPr="000B2DBE">
        <w:rPr>
          <w:sz w:val="20"/>
          <w:szCs w:val="20"/>
          <w:lang w:val="cy-GB"/>
        </w:rPr>
        <w:t xml:space="preserve"> </w:t>
      </w:r>
    </w:p>
    <w:p w:rsidR="00CD05C0" w:rsidRPr="000B2DBE" w:rsidRDefault="00CD05C0" w:rsidP="00303787">
      <w:pPr>
        <w:jc w:val="both"/>
        <w:rPr>
          <w:sz w:val="20"/>
          <w:szCs w:val="20"/>
          <w:lang w:val="cy-GB"/>
        </w:rPr>
      </w:pPr>
    </w:p>
    <w:sectPr w:rsidR="00CD05C0" w:rsidRPr="000B2DBE" w:rsidSect="0019599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B66" w:rsidRDefault="00217B66" w:rsidP="00271FA9">
      <w:r>
        <w:separator/>
      </w:r>
    </w:p>
  </w:endnote>
  <w:endnote w:type="continuationSeparator" w:id="1">
    <w:p w:rsidR="00217B66" w:rsidRDefault="00217B66" w:rsidP="00271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B66" w:rsidRDefault="00217B66" w:rsidP="00271FA9">
      <w:r>
        <w:separator/>
      </w:r>
    </w:p>
  </w:footnote>
  <w:footnote w:type="continuationSeparator" w:id="1">
    <w:p w:rsidR="00217B66" w:rsidRDefault="00217B66" w:rsidP="00271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111"/>
    <w:multiLevelType w:val="hybridMultilevel"/>
    <w:tmpl w:val="85FA2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80CB4"/>
    <w:multiLevelType w:val="hybridMultilevel"/>
    <w:tmpl w:val="FB4AD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attachedTemplate r:id="rId1"/>
  <w:stylePaneFormatFilter w:val="3F01"/>
  <w:defaultTabStop w:val="720"/>
  <w:characterSpacingControl w:val="doNotCompress"/>
  <w:savePreviewPicture/>
  <w:footnotePr>
    <w:footnote w:id="0"/>
    <w:footnote w:id="1"/>
  </w:footnotePr>
  <w:endnotePr>
    <w:endnote w:id="0"/>
    <w:endnote w:id="1"/>
  </w:endnotePr>
  <w:compat/>
  <w:rsids>
    <w:rsidRoot w:val="000B53A2"/>
    <w:rsid w:val="00010D60"/>
    <w:rsid w:val="00033F03"/>
    <w:rsid w:val="00034AA8"/>
    <w:rsid w:val="00085102"/>
    <w:rsid w:val="000B2B1C"/>
    <w:rsid w:val="000B2DBE"/>
    <w:rsid w:val="000B3C41"/>
    <w:rsid w:val="000B51C6"/>
    <w:rsid w:val="000B53A2"/>
    <w:rsid w:val="00101D97"/>
    <w:rsid w:val="001243E7"/>
    <w:rsid w:val="00141DCE"/>
    <w:rsid w:val="00162255"/>
    <w:rsid w:val="00173591"/>
    <w:rsid w:val="00174A85"/>
    <w:rsid w:val="001847E5"/>
    <w:rsid w:val="00195991"/>
    <w:rsid w:val="00197E3C"/>
    <w:rsid w:val="001A29C0"/>
    <w:rsid w:val="001B0BA6"/>
    <w:rsid w:val="001C79C1"/>
    <w:rsid w:val="001E44F7"/>
    <w:rsid w:val="00217B66"/>
    <w:rsid w:val="002267DD"/>
    <w:rsid w:val="002548B8"/>
    <w:rsid w:val="002575BF"/>
    <w:rsid w:val="00271FA9"/>
    <w:rsid w:val="00282B35"/>
    <w:rsid w:val="00287C55"/>
    <w:rsid w:val="002C5241"/>
    <w:rsid w:val="002D3D2B"/>
    <w:rsid w:val="002E37A8"/>
    <w:rsid w:val="00303787"/>
    <w:rsid w:val="003400B6"/>
    <w:rsid w:val="00341CDB"/>
    <w:rsid w:val="00381E80"/>
    <w:rsid w:val="003B78A3"/>
    <w:rsid w:val="00405BCB"/>
    <w:rsid w:val="0041623C"/>
    <w:rsid w:val="004422BB"/>
    <w:rsid w:val="00456274"/>
    <w:rsid w:val="00467EAD"/>
    <w:rsid w:val="0049357E"/>
    <w:rsid w:val="004A1D30"/>
    <w:rsid w:val="004A1F69"/>
    <w:rsid w:val="004A6D32"/>
    <w:rsid w:val="004B1850"/>
    <w:rsid w:val="005226FF"/>
    <w:rsid w:val="005435F1"/>
    <w:rsid w:val="005A0203"/>
    <w:rsid w:val="005B4B6A"/>
    <w:rsid w:val="005C13E4"/>
    <w:rsid w:val="005D66DE"/>
    <w:rsid w:val="005E4793"/>
    <w:rsid w:val="00620A3F"/>
    <w:rsid w:val="00630EE4"/>
    <w:rsid w:val="00637DE2"/>
    <w:rsid w:val="00656C5F"/>
    <w:rsid w:val="00664FF3"/>
    <w:rsid w:val="00666919"/>
    <w:rsid w:val="00671E16"/>
    <w:rsid w:val="00690CE8"/>
    <w:rsid w:val="00692941"/>
    <w:rsid w:val="00693063"/>
    <w:rsid w:val="006959E1"/>
    <w:rsid w:val="00695D32"/>
    <w:rsid w:val="006C1497"/>
    <w:rsid w:val="006E1051"/>
    <w:rsid w:val="006F3E6C"/>
    <w:rsid w:val="0071323B"/>
    <w:rsid w:val="00714EA4"/>
    <w:rsid w:val="00746EB7"/>
    <w:rsid w:val="00786953"/>
    <w:rsid w:val="007A16B2"/>
    <w:rsid w:val="007A3471"/>
    <w:rsid w:val="007B1608"/>
    <w:rsid w:val="007B54D6"/>
    <w:rsid w:val="007B7921"/>
    <w:rsid w:val="007C51C6"/>
    <w:rsid w:val="00802C84"/>
    <w:rsid w:val="0081183F"/>
    <w:rsid w:val="0081410F"/>
    <w:rsid w:val="00826626"/>
    <w:rsid w:val="008457C9"/>
    <w:rsid w:val="008519AD"/>
    <w:rsid w:val="00854822"/>
    <w:rsid w:val="0086583E"/>
    <w:rsid w:val="00884BD7"/>
    <w:rsid w:val="008927C4"/>
    <w:rsid w:val="00897D64"/>
    <w:rsid w:val="008E739A"/>
    <w:rsid w:val="008F02A8"/>
    <w:rsid w:val="008F3F74"/>
    <w:rsid w:val="008F70F1"/>
    <w:rsid w:val="00907AA5"/>
    <w:rsid w:val="009109CA"/>
    <w:rsid w:val="00934112"/>
    <w:rsid w:val="00937253"/>
    <w:rsid w:val="0095448A"/>
    <w:rsid w:val="00957A49"/>
    <w:rsid w:val="00980336"/>
    <w:rsid w:val="009C0068"/>
    <w:rsid w:val="009D0512"/>
    <w:rsid w:val="009F29CA"/>
    <w:rsid w:val="009F79B8"/>
    <w:rsid w:val="00A13766"/>
    <w:rsid w:val="00A1409D"/>
    <w:rsid w:val="00A16599"/>
    <w:rsid w:val="00A20D28"/>
    <w:rsid w:val="00A23178"/>
    <w:rsid w:val="00A3131B"/>
    <w:rsid w:val="00A65E0C"/>
    <w:rsid w:val="00A662C1"/>
    <w:rsid w:val="00A8184B"/>
    <w:rsid w:val="00A842FE"/>
    <w:rsid w:val="00A93D20"/>
    <w:rsid w:val="00AA5C6E"/>
    <w:rsid w:val="00AB20D5"/>
    <w:rsid w:val="00AD404E"/>
    <w:rsid w:val="00AE4E1D"/>
    <w:rsid w:val="00AF0E08"/>
    <w:rsid w:val="00AF3248"/>
    <w:rsid w:val="00B22E10"/>
    <w:rsid w:val="00B715DB"/>
    <w:rsid w:val="00B71658"/>
    <w:rsid w:val="00B75D42"/>
    <w:rsid w:val="00B864CB"/>
    <w:rsid w:val="00BA1370"/>
    <w:rsid w:val="00BA4D91"/>
    <w:rsid w:val="00BC1880"/>
    <w:rsid w:val="00BC565A"/>
    <w:rsid w:val="00BC7976"/>
    <w:rsid w:val="00BD28D1"/>
    <w:rsid w:val="00BF4C31"/>
    <w:rsid w:val="00C05177"/>
    <w:rsid w:val="00C05C6B"/>
    <w:rsid w:val="00C135D9"/>
    <w:rsid w:val="00C34C5A"/>
    <w:rsid w:val="00C41B6D"/>
    <w:rsid w:val="00C45EC4"/>
    <w:rsid w:val="00C7275F"/>
    <w:rsid w:val="00C86736"/>
    <w:rsid w:val="00C96323"/>
    <w:rsid w:val="00CB11B4"/>
    <w:rsid w:val="00CB505D"/>
    <w:rsid w:val="00CD05C0"/>
    <w:rsid w:val="00CD4477"/>
    <w:rsid w:val="00CE5790"/>
    <w:rsid w:val="00D1027B"/>
    <w:rsid w:val="00D2695B"/>
    <w:rsid w:val="00D4046C"/>
    <w:rsid w:val="00D433F9"/>
    <w:rsid w:val="00D81ADE"/>
    <w:rsid w:val="00D9309A"/>
    <w:rsid w:val="00DB48E6"/>
    <w:rsid w:val="00DB7131"/>
    <w:rsid w:val="00DC7455"/>
    <w:rsid w:val="00DE1A64"/>
    <w:rsid w:val="00DE38BA"/>
    <w:rsid w:val="00E068B1"/>
    <w:rsid w:val="00E473DD"/>
    <w:rsid w:val="00E5652B"/>
    <w:rsid w:val="00E56DBD"/>
    <w:rsid w:val="00E84E17"/>
    <w:rsid w:val="00EA6747"/>
    <w:rsid w:val="00EB3F58"/>
    <w:rsid w:val="00EC6AC8"/>
    <w:rsid w:val="00ED4B8E"/>
    <w:rsid w:val="00ED5824"/>
    <w:rsid w:val="00EE7381"/>
    <w:rsid w:val="00F21DBB"/>
    <w:rsid w:val="00F645F8"/>
    <w:rsid w:val="00F6612D"/>
    <w:rsid w:val="00FD68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9599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1FA9"/>
    <w:pPr>
      <w:tabs>
        <w:tab w:val="center" w:pos="4680"/>
        <w:tab w:val="right" w:pos="9360"/>
      </w:tabs>
    </w:pPr>
  </w:style>
  <w:style w:type="character" w:customStyle="1" w:styleId="HeaderChar">
    <w:name w:val="Header Char"/>
    <w:basedOn w:val="DefaultParagraphFont"/>
    <w:link w:val="Header"/>
    <w:rsid w:val="00271FA9"/>
    <w:rPr>
      <w:sz w:val="24"/>
      <w:szCs w:val="24"/>
    </w:rPr>
  </w:style>
  <w:style w:type="paragraph" w:styleId="Footer">
    <w:name w:val="footer"/>
    <w:basedOn w:val="Normal"/>
    <w:link w:val="FooterChar"/>
    <w:uiPriority w:val="99"/>
    <w:rsid w:val="00271FA9"/>
    <w:pPr>
      <w:tabs>
        <w:tab w:val="center" w:pos="4680"/>
        <w:tab w:val="right" w:pos="9360"/>
      </w:tabs>
    </w:pPr>
  </w:style>
  <w:style w:type="character" w:customStyle="1" w:styleId="FooterChar">
    <w:name w:val="Footer Char"/>
    <w:basedOn w:val="DefaultParagraphFont"/>
    <w:link w:val="Footer"/>
    <w:uiPriority w:val="99"/>
    <w:rsid w:val="00271FA9"/>
    <w:rPr>
      <w:sz w:val="24"/>
      <w:szCs w:val="24"/>
    </w:rPr>
  </w:style>
  <w:style w:type="paragraph" w:styleId="ListParagraph">
    <w:name w:val="List Paragraph"/>
    <w:basedOn w:val="Normal"/>
    <w:uiPriority w:val="34"/>
    <w:qFormat/>
    <w:rsid w:val="001B0BA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SAMUEL%20SERUNJOGI%20V%20EFULAIMU%20KASIWUKIRA%20MISCELLANEOUS%20APPLICATION%20NO.%20349%20OF%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SAMUEL SERUNJOGI V EFULAIMU KASIWUKIRA MISCELLANEOUS APPLICATION NO. 349 OF 2012</Template>
  <TotalTime>3</TotalTime>
  <Pages>2</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ptuhaise</dc:creator>
  <cp:lastModifiedBy>jmugala</cp:lastModifiedBy>
  <cp:revision>2</cp:revision>
  <cp:lastPrinted>2013-06-06T08:43:00Z</cp:lastPrinted>
  <dcterms:created xsi:type="dcterms:W3CDTF">2013-06-07T05:38:00Z</dcterms:created>
  <dcterms:modified xsi:type="dcterms:W3CDTF">2013-06-07T05:38:00Z</dcterms:modified>
</cp:coreProperties>
</file>