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36" w:rsidRPr="0026001F" w:rsidRDefault="004C1336" w:rsidP="004C1336">
      <w:pPr>
        <w:spacing w:line="240" w:lineRule="auto"/>
        <w:jc w:val="center"/>
        <w:rPr>
          <w:rFonts w:ascii="Times New Roman" w:hAnsi="Times New Roman" w:cs="Times New Roman"/>
          <w:b/>
          <w:sz w:val="24"/>
          <w:szCs w:val="24"/>
        </w:rPr>
      </w:pPr>
      <w:r w:rsidRPr="0026001F">
        <w:rPr>
          <w:rFonts w:ascii="Times New Roman" w:hAnsi="Times New Roman" w:cs="Times New Roman"/>
          <w:b/>
          <w:sz w:val="24"/>
          <w:szCs w:val="24"/>
        </w:rPr>
        <w:t>THE REPUBLIC OF UGANDA</w:t>
      </w:r>
    </w:p>
    <w:p w:rsidR="004C1336" w:rsidRPr="0026001F" w:rsidRDefault="004C1336" w:rsidP="004C1336">
      <w:pPr>
        <w:spacing w:line="240" w:lineRule="auto"/>
        <w:jc w:val="center"/>
        <w:rPr>
          <w:rFonts w:ascii="Times New Roman" w:hAnsi="Times New Roman" w:cs="Times New Roman"/>
          <w:b/>
          <w:sz w:val="24"/>
          <w:szCs w:val="24"/>
        </w:rPr>
      </w:pPr>
      <w:r w:rsidRPr="0026001F">
        <w:rPr>
          <w:rFonts w:ascii="Times New Roman" w:hAnsi="Times New Roman" w:cs="Times New Roman"/>
          <w:b/>
          <w:sz w:val="24"/>
          <w:szCs w:val="24"/>
        </w:rPr>
        <w:t>IN THE HIGH COURT OF UGANDA AT KAMPALA</w:t>
      </w:r>
    </w:p>
    <w:p w:rsidR="004C1336" w:rsidRPr="0026001F" w:rsidRDefault="004C1336" w:rsidP="004C1336">
      <w:pPr>
        <w:spacing w:line="240" w:lineRule="auto"/>
        <w:jc w:val="center"/>
        <w:rPr>
          <w:rFonts w:ascii="Times New Roman" w:hAnsi="Times New Roman" w:cs="Times New Roman"/>
          <w:b/>
          <w:sz w:val="24"/>
          <w:szCs w:val="24"/>
        </w:rPr>
      </w:pPr>
      <w:r w:rsidRPr="0026001F">
        <w:rPr>
          <w:rFonts w:ascii="Times New Roman" w:hAnsi="Times New Roman" w:cs="Times New Roman"/>
          <w:b/>
          <w:sz w:val="24"/>
          <w:szCs w:val="24"/>
        </w:rPr>
        <w:t>(LAND DIVISION)</w:t>
      </w:r>
    </w:p>
    <w:p w:rsidR="004C1336" w:rsidRPr="0026001F" w:rsidRDefault="004C1336" w:rsidP="004C1336">
      <w:pPr>
        <w:spacing w:line="240" w:lineRule="auto"/>
        <w:jc w:val="center"/>
        <w:rPr>
          <w:rFonts w:ascii="Times New Roman" w:hAnsi="Times New Roman" w:cs="Times New Roman"/>
          <w:b/>
          <w:sz w:val="24"/>
          <w:szCs w:val="24"/>
        </w:rPr>
      </w:pPr>
    </w:p>
    <w:p w:rsidR="004C1336" w:rsidRPr="0026001F" w:rsidRDefault="00C86A3F" w:rsidP="004C1336">
      <w:pPr>
        <w:jc w:val="center"/>
        <w:rPr>
          <w:rFonts w:ascii="Times New Roman" w:hAnsi="Times New Roman" w:cs="Times New Roman"/>
          <w:b/>
          <w:sz w:val="24"/>
          <w:szCs w:val="24"/>
        </w:rPr>
      </w:pPr>
      <w:proofErr w:type="gramStart"/>
      <w:r w:rsidRPr="0026001F">
        <w:rPr>
          <w:rFonts w:ascii="Times New Roman" w:hAnsi="Times New Roman" w:cs="Times New Roman"/>
          <w:b/>
          <w:sz w:val="24"/>
          <w:szCs w:val="24"/>
        </w:rPr>
        <w:t>CIVIL SUIT NO.</w:t>
      </w:r>
      <w:proofErr w:type="gramEnd"/>
      <w:r w:rsidRPr="0026001F">
        <w:rPr>
          <w:rFonts w:ascii="Times New Roman" w:hAnsi="Times New Roman" w:cs="Times New Roman"/>
          <w:b/>
          <w:sz w:val="24"/>
          <w:szCs w:val="24"/>
        </w:rPr>
        <w:t xml:space="preserve"> 202 OF 2016</w:t>
      </w:r>
    </w:p>
    <w:p w:rsidR="00C86A3F" w:rsidRPr="0026001F" w:rsidRDefault="00C86A3F" w:rsidP="004C1336">
      <w:pPr>
        <w:jc w:val="center"/>
        <w:rPr>
          <w:rFonts w:ascii="Times New Roman" w:hAnsi="Times New Roman" w:cs="Times New Roman"/>
          <w:b/>
          <w:sz w:val="24"/>
          <w:szCs w:val="24"/>
        </w:rPr>
      </w:pPr>
    </w:p>
    <w:p w:rsidR="004C1336" w:rsidRPr="0026001F" w:rsidRDefault="00C86A3F" w:rsidP="00D1490F">
      <w:pPr>
        <w:rPr>
          <w:rFonts w:ascii="Times New Roman" w:hAnsi="Times New Roman" w:cs="Times New Roman"/>
          <w:b/>
          <w:sz w:val="24"/>
          <w:szCs w:val="24"/>
        </w:rPr>
      </w:pPr>
      <w:r w:rsidRPr="0026001F">
        <w:rPr>
          <w:rFonts w:ascii="Times New Roman" w:hAnsi="Times New Roman" w:cs="Times New Roman"/>
          <w:b/>
          <w:sz w:val="24"/>
          <w:szCs w:val="24"/>
        </w:rPr>
        <w:t>BUGEMBE KAGWA SEGUJJA::::::::::::::::::::::::::::::::::::::::</w:t>
      </w:r>
      <w:r w:rsidR="00D1490F" w:rsidRPr="0026001F">
        <w:rPr>
          <w:rFonts w:ascii="Times New Roman" w:hAnsi="Times New Roman" w:cs="Times New Roman"/>
          <w:b/>
          <w:sz w:val="24"/>
          <w:szCs w:val="24"/>
        </w:rPr>
        <w:t>:::::</w:t>
      </w:r>
      <w:r w:rsidRPr="0026001F">
        <w:rPr>
          <w:rFonts w:ascii="Times New Roman" w:hAnsi="Times New Roman" w:cs="Times New Roman"/>
          <w:b/>
          <w:sz w:val="24"/>
          <w:szCs w:val="24"/>
        </w:rPr>
        <w:t>:::</w:t>
      </w:r>
      <w:proofErr w:type="gramStart"/>
      <w:r w:rsidRPr="0026001F">
        <w:rPr>
          <w:rFonts w:ascii="Times New Roman" w:hAnsi="Times New Roman" w:cs="Times New Roman"/>
          <w:b/>
          <w:sz w:val="24"/>
          <w:szCs w:val="24"/>
        </w:rPr>
        <w:t>:PLAINTIFF</w:t>
      </w:r>
      <w:proofErr w:type="gramEnd"/>
    </w:p>
    <w:p w:rsidR="004C1336" w:rsidRPr="0026001F" w:rsidRDefault="004C1336" w:rsidP="004C1336">
      <w:pPr>
        <w:jc w:val="center"/>
        <w:rPr>
          <w:rFonts w:ascii="Times New Roman" w:hAnsi="Times New Roman" w:cs="Times New Roman"/>
          <w:b/>
          <w:sz w:val="24"/>
          <w:szCs w:val="24"/>
        </w:rPr>
      </w:pPr>
      <w:r w:rsidRPr="0026001F">
        <w:rPr>
          <w:rFonts w:ascii="Times New Roman" w:hAnsi="Times New Roman" w:cs="Times New Roman"/>
          <w:b/>
          <w:sz w:val="24"/>
          <w:szCs w:val="24"/>
        </w:rPr>
        <w:t xml:space="preserve">                          V E R S U S</w:t>
      </w:r>
    </w:p>
    <w:p w:rsidR="00C86A3F" w:rsidRPr="0026001F" w:rsidRDefault="00C86A3F" w:rsidP="00C86A3F">
      <w:pPr>
        <w:pStyle w:val="ListParagraph"/>
        <w:numPr>
          <w:ilvl w:val="0"/>
          <w:numId w:val="1"/>
        </w:numPr>
        <w:rPr>
          <w:rFonts w:ascii="Times New Roman" w:hAnsi="Times New Roman" w:cs="Times New Roman"/>
          <w:b/>
          <w:sz w:val="24"/>
          <w:szCs w:val="24"/>
        </w:rPr>
      </w:pPr>
      <w:r w:rsidRPr="0026001F">
        <w:rPr>
          <w:rFonts w:ascii="Times New Roman" w:hAnsi="Times New Roman" w:cs="Times New Roman"/>
          <w:b/>
          <w:sz w:val="24"/>
          <w:szCs w:val="24"/>
        </w:rPr>
        <w:t>STEVEN ERIAKU</w:t>
      </w:r>
    </w:p>
    <w:p w:rsidR="004C1336" w:rsidRPr="0026001F" w:rsidRDefault="00C86A3F" w:rsidP="00C86A3F">
      <w:pPr>
        <w:pStyle w:val="ListParagraph"/>
        <w:numPr>
          <w:ilvl w:val="0"/>
          <w:numId w:val="1"/>
        </w:numPr>
        <w:spacing w:line="360" w:lineRule="auto"/>
        <w:rPr>
          <w:rFonts w:ascii="Times New Roman" w:hAnsi="Times New Roman" w:cs="Times New Roman"/>
          <w:b/>
          <w:sz w:val="24"/>
          <w:szCs w:val="24"/>
        </w:rPr>
      </w:pPr>
      <w:r w:rsidRPr="0026001F">
        <w:rPr>
          <w:rFonts w:ascii="Times New Roman" w:hAnsi="Times New Roman" w:cs="Times New Roman"/>
          <w:b/>
          <w:sz w:val="24"/>
          <w:szCs w:val="24"/>
        </w:rPr>
        <w:t>ALVIN SSETUBA KATO:::::::::::::::::::::::::::::::::::::::::::::::DEFENDANTS</w:t>
      </w:r>
    </w:p>
    <w:p w:rsidR="004C1336" w:rsidRPr="0026001F" w:rsidRDefault="004C1336" w:rsidP="00C86A3F">
      <w:pPr>
        <w:pStyle w:val="ListParagraph"/>
        <w:ind w:left="360"/>
        <w:rPr>
          <w:rFonts w:ascii="Times New Roman" w:hAnsi="Times New Roman" w:cs="Times New Roman"/>
          <w:b/>
          <w:sz w:val="24"/>
          <w:szCs w:val="24"/>
        </w:rPr>
      </w:pPr>
    </w:p>
    <w:p w:rsidR="004C1336" w:rsidRPr="0026001F" w:rsidRDefault="004C1336" w:rsidP="004C1336">
      <w:pPr>
        <w:pStyle w:val="ListParagraph"/>
        <w:ind w:left="360"/>
        <w:rPr>
          <w:rFonts w:ascii="Times New Roman" w:hAnsi="Times New Roman" w:cs="Times New Roman"/>
          <w:b/>
          <w:sz w:val="24"/>
          <w:szCs w:val="24"/>
        </w:rPr>
      </w:pPr>
      <w:bookmarkStart w:id="0" w:name="_GoBack"/>
      <w:bookmarkEnd w:id="0"/>
    </w:p>
    <w:p w:rsidR="004C1336" w:rsidRPr="0026001F" w:rsidRDefault="004C1336" w:rsidP="004C1336">
      <w:pPr>
        <w:rPr>
          <w:rFonts w:ascii="Times New Roman" w:hAnsi="Times New Roman" w:cs="Times New Roman"/>
          <w:b/>
          <w:sz w:val="24"/>
          <w:szCs w:val="24"/>
        </w:rPr>
      </w:pPr>
      <w:r w:rsidRPr="0026001F">
        <w:rPr>
          <w:rFonts w:ascii="Times New Roman" w:hAnsi="Times New Roman" w:cs="Times New Roman"/>
          <w:b/>
          <w:sz w:val="24"/>
          <w:szCs w:val="24"/>
        </w:rPr>
        <w:t xml:space="preserve">BEFORE </w:t>
      </w:r>
      <w:r w:rsidR="00D1490F" w:rsidRPr="0026001F">
        <w:rPr>
          <w:rFonts w:ascii="Times New Roman" w:hAnsi="Times New Roman" w:cs="Times New Roman"/>
          <w:b/>
          <w:sz w:val="24"/>
          <w:szCs w:val="24"/>
        </w:rPr>
        <w:t>HON. MR. JUSTICE</w:t>
      </w:r>
      <w:r w:rsidRPr="0026001F">
        <w:rPr>
          <w:rFonts w:ascii="Times New Roman" w:hAnsi="Times New Roman" w:cs="Times New Roman"/>
          <w:b/>
          <w:sz w:val="24"/>
          <w:szCs w:val="24"/>
        </w:rPr>
        <w:t xml:space="preserve"> HENRY I. KAWESA</w:t>
      </w:r>
    </w:p>
    <w:p w:rsidR="004C1336" w:rsidRPr="0026001F" w:rsidRDefault="004C1336" w:rsidP="004C1336">
      <w:pPr>
        <w:rPr>
          <w:rFonts w:ascii="Times New Roman" w:hAnsi="Times New Roman" w:cs="Times New Roman"/>
          <w:b/>
          <w:sz w:val="24"/>
          <w:szCs w:val="24"/>
        </w:rPr>
      </w:pPr>
    </w:p>
    <w:p w:rsidR="004C1336" w:rsidRPr="0026001F" w:rsidRDefault="00C453B7" w:rsidP="004C1336">
      <w:pPr>
        <w:rPr>
          <w:rFonts w:ascii="Times New Roman" w:hAnsi="Times New Roman" w:cs="Times New Roman"/>
          <w:b/>
          <w:sz w:val="24"/>
          <w:szCs w:val="24"/>
          <w:u w:val="single"/>
        </w:rPr>
      </w:pPr>
      <w:r w:rsidRPr="0026001F">
        <w:rPr>
          <w:rFonts w:ascii="Times New Roman" w:hAnsi="Times New Roman" w:cs="Times New Roman"/>
          <w:b/>
          <w:sz w:val="24"/>
          <w:szCs w:val="24"/>
          <w:u w:val="single"/>
        </w:rPr>
        <w:t>JUDGEMENT</w:t>
      </w:r>
    </w:p>
    <w:p w:rsidR="004C1336" w:rsidRPr="0026001F" w:rsidRDefault="004C1336" w:rsidP="004C1336">
      <w:pPr>
        <w:rPr>
          <w:rFonts w:ascii="Times New Roman" w:hAnsi="Times New Roman" w:cs="Times New Roman"/>
          <w:sz w:val="24"/>
          <w:szCs w:val="24"/>
          <w:u w:val="single"/>
        </w:rPr>
      </w:pPr>
    </w:p>
    <w:p w:rsidR="00D1490F" w:rsidRPr="0026001F" w:rsidRDefault="004C1336"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 xml:space="preserve">The </w:t>
      </w:r>
      <w:r w:rsidR="00D1490F" w:rsidRPr="0026001F">
        <w:rPr>
          <w:rFonts w:ascii="Times New Roman" w:hAnsi="Times New Roman" w:cs="Times New Roman"/>
          <w:sz w:val="24"/>
          <w:szCs w:val="24"/>
        </w:rPr>
        <w:t>Plaintiff brought this suit to recover land comprised in Busiro Block 412 plot 194 at Lutaba, cancellation of the Defendant’s name from the register/title from the said land, transfer of the same into the Plaintiff’s names and costs of the suit.</w:t>
      </w:r>
    </w:p>
    <w:p w:rsidR="00D1490F" w:rsidRPr="0026001F" w:rsidRDefault="00D1490F" w:rsidP="004C1336">
      <w:pPr>
        <w:spacing w:line="360" w:lineRule="auto"/>
        <w:rPr>
          <w:rFonts w:ascii="Times New Roman" w:hAnsi="Times New Roman" w:cs="Times New Roman"/>
          <w:sz w:val="24"/>
          <w:szCs w:val="24"/>
        </w:rPr>
      </w:pPr>
    </w:p>
    <w:p w:rsidR="00D1490F" w:rsidRPr="0026001F" w:rsidRDefault="00D1490F"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The facts constituting the cause of action are enumerated in details in paragraphs 3 and 4 of the plaint, which particular</w:t>
      </w:r>
      <w:r w:rsidR="00675FF1" w:rsidRPr="0026001F">
        <w:rPr>
          <w:rFonts w:ascii="Times New Roman" w:hAnsi="Times New Roman" w:cs="Times New Roman"/>
          <w:sz w:val="24"/>
          <w:szCs w:val="24"/>
        </w:rPr>
        <w:t>ises</w:t>
      </w:r>
      <w:r w:rsidR="004D4EE0" w:rsidRPr="0026001F">
        <w:rPr>
          <w:rFonts w:ascii="Times New Roman" w:hAnsi="Times New Roman" w:cs="Times New Roman"/>
          <w:sz w:val="24"/>
          <w:szCs w:val="24"/>
        </w:rPr>
        <w:t xml:space="preserve"> of</w:t>
      </w:r>
      <w:r w:rsidRPr="0026001F">
        <w:rPr>
          <w:rFonts w:ascii="Times New Roman" w:hAnsi="Times New Roman" w:cs="Times New Roman"/>
          <w:sz w:val="24"/>
          <w:szCs w:val="24"/>
        </w:rPr>
        <w:t xml:space="preserve"> the fraud committed against the Plaintiff by both Defendants herein.</w:t>
      </w:r>
    </w:p>
    <w:p w:rsidR="00D1490F" w:rsidRPr="0026001F" w:rsidRDefault="00D1490F"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 xml:space="preserve">Though served, the Defendants failed to file a defence, whereupon the matter proceeded </w:t>
      </w:r>
      <w:r w:rsidRPr="0026001F">
        <w:rPr>
          <w:rFonts w:ascii="Times New Roman" w:hAnsi="Times New Roman" w:cs="Times New Roman"/>
          <w:i/>
          <w:sz w:val="24"/>
          <w:szCs w:val="24"/>
        </w:rPr>
        <w:t>exparte</w:t>
      </w:r>
      <w:r w:rsidRPr="0026001F">
        <w:rPr>
          <w:rFonts w:ascii="Times New Roman" w:hAnsi="Times New Roman" w:cs="Times New Roman"/>
          <w:sz w:val="24"/>
          <w:szCs w:val="24"/>
        </w:rPr>
        <w:t>, and was</w:t>
      </w:r>
      <w:r w:rsidR="002F0540" w:rsidRPr="0026001F">
        <w:rPr>
          <w:rFonts w:ascii="Times New Roman" w:hAnsi="Times New Roman" w:cs="Times New Roman"/>
          <w:sz w:val="24"/>
          <w:szCs w:val="24"/>
        </w:rPr>
        <w:t xml:space="preserve"> set down for hearing </w:t>
      </w:r>
      <w:r w:rsidR="002F0540" w:rsidRPr="0026001F">
        <w:rPr>
          <w:rFonts w:ascii="Times New Roman" w:hAnsi="Times New Roman" w:cs="Times New Roman"/>
          <w:b/>
          <w:sz w:val="24"/>
          <w:szCs w:val="24"/>
        </w:rPr>
        <w:t xml:space="preserve">under O.9 </w:t>
      </w:r>
      <w:r w:rsidR="00E95FB0" w:rsidRPr="0026001F">
        <w:rPr>
          <w:rFonts w:ascii="Times New Roman" w:hAnsi="Times New Roman" w:cs="Times New Roman"/>
          <w:b/>
          <w:sz w:val="24"/>
          <w:szCs w:val="24"/>
        </w:rPr>
        <w:t>r11 (</w:t>
      </w:r>
      <w:r w:rsidR="002F0540" w:rsidRPr="0026001F">
        <w:rPr>
          <w:rFonts w:ascii="Times New Roman" w:hAnsi="Times New Roman" w:cs="Times New Roman"/>
          <w:b/>
          <w:sz w:val="24"/>
          <w:szCs w:val="24"/>
        </w:rPr>
        <w:t xml:space="preserve">2) </w:t>
      </w:r>
      <w:r w:rsidR="002F0540" w:rsidRPr="0026001F">
        <w:rPr>
          <w:rFonts w:ascii="Times New Roman" w:hAnsi="Times New Roman" w:cs="Times New Roman"/>
          <w:sz w:val="24"/>
          <w:szCs w:val="24"/>
        </w:rPr>
        <w:t>of the</w:t>
      </w:r>
      <w:r w:rsidR="002F0540" w:rsidRPr="0026001F">
        <w:rPr>
          <w:rFonts w:ascii="Times New Roman" w:hAnsi="Times New Roman" w:cs="Times New Roman"/>
          <w:b/>
          <w:sz w:val="24"/>
          <w:szCs w:val="24"/>
        </w:rPr>
        <w:t xml:space="preserve"> Civil Procedure Rules.</w:t>
      </w:r>
    </w:p>
    <w:p w:rsidR="002F0540" w:rsidRPr="0026001F" w:rsidRDefault="002F0540"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The Plaintiff called one witness</w:t>
      </w:r>
      <w:r w:rsidR="00050FE2" w:rsidRPr="0026001F">
        <w:rPr>
          <w:rFonts w:ascii="Times New Roman" w:hAnsi="Times New Roman" w:cs="Times New Roman"/>
          <w:sz w:val="24"/>
          <w:szCs w:val="24"/>
        </w:rPr>
        <w:t xml:space="preserve"> whose evidence was </w:t>
      </w:r>
      <w:r w:rsidR="004A52D8" w:rsidRPr="0026001F">
        <w:rPr>
          <w:rFonts w:ascii="Times New Roman" w:hAnsi="Times New Roman" w:cs="Times New Roman"/>
          <w:sz w:val="24"/>
          <w:szCs w:val="24"/>
        </w:rPr>
        <w:t>contained in the</w:t>
      </w:r>
      <w:r w:rsidR="00050FE2" w:rsidRPr="0026001F">
        <w:rPr>
          <w:rFonts w:ascii="Times New Roman" w:hAnsi="Times New Roman" w:cs="Times New Roman"/>
          <w:sz w:val="24"/>
          <w:szCs w:val="24"/>
        </w:rPr>
        <w:t xml:space="preserve"> witness statement; </w:t>
      </w:r>
      <w:r w:rsidR="004A52D8" w:rsidRPr="0026001F">
        <w:rPr>
          <w:rFonts w:ascii="Times New Roman" w:hAnsi="Times New Roman" w:cs="Times New Roman"/>
          <w:sz w:val="24"/>
          <w:szCs w:val="24"/>
        </w:rPr>
        <w:t>of</w:t>
      </w:r>
      <w:r w:rsidR="00050FE2" w:rsidRPr="0026001F">
        <w:rPr>
          <w:rFonts w:ascii="Times New Roman" w:hAnsi="Times New Roman" w:cs="Times New Roman"/>
          <w:sz w:val="24"/>
          <w:szCs w:val="24"/>
        </w:rPr>
        <w:t xml:space="preserve"> Bugembe Kaggwa Segujja.</w:t>
      </w:r>
    </w:p>
    <w:p w:rsidR="00050FE2" w:rsidRPr="0026001F" w:rsidRDefault="00050FE2"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lastRenderedPageBreak/>
        <w:t xml:space="preserve">The evidence </w:t>
      </w:r>
      <w:r w:rsidR="007F2AEB" w:rsidRPr="0026001F">
        <w:rPr>
          <w:rFonts w:ascii="Times New Roman" w:hAnsi="Times New Roman" w:cs="Times New Roman"/>
          <w:sz w:val="24"/>
          <w:szCs w:val="24"/>
        </w:rPr>
        <w:t>of</w:t>
      </w:r>
      <w:r w:rsidRPr="0026001F">
        <w:rPr>
          <w:rFonts w:ascii="Times New Roman" w:hAnsi="Times New Roman" w:cs="Times New Roman"/>
          <w:sz w:val="24"/>
          <w:szCs w:val="24"/>
        </w:rPr>
        <w:t xml:space="preserve"> Bugembe Kagwa established in proof that the suit land was owned by the</w:t>
      </w:r>
      <w:r w:rsidR="0028023F" w:rsidRPr="0026001F">
        <w:rPr>
          <w:rFonts w:ascii="Times New Roman" w:hAnsi="Times New Roman" w:cs="Times New Roman"/>
          <w:sz w:val="24"/>
          <w:szCs w:val="24"/>
        </w:rPr>
        <w:t xml:space="preserve"> late Besweri Lutakome who was the</w:t>
      </w:r>
      <w:r w:rsidRPr="0026001F">
        <w:rPr>
          <w:rFonts w:ascii="Times New Roman" w:hAnsi="Times New Roman" w:cs="Times New Roman"/>
          <w:sz w:val="24"/>
          <w:szCs w:val="24"/>
        </w:rPr>
        <w:t xml:space="preserve"> registered proprietor thereof and</w:t>
      </w:r>
      <w:r w:rsidR="004A52D8" w:rsidRPr="0026001F">
        <w:rPr>
          <w:rFonts w:ascii="Times New Roman" w:hAnsi="Times New Roman" w:cs="Times New Roman"/>
          <w:sz w:val="24"/>
          <w:szCs w:val="24"/>
        </w:rPr>
        <w:t xml:space="preserve"> that</w:t>
      </w:r>
      <w:r w:rsidRPr="0026001F">
        <w:rPr>
          <w:rFonts w:ascii="Times New Roman" w:hAnsi="Times New Roman" w:cs="Times New Roman"/>
          <w:sz w:val="24"/>
          <w:szCs w:val="24"/>
        </w:rPr>
        <w:t xml:space="preserve"> the Plaintiff resides on the </w:t>
      </w:r>
      <w:proofErr w:type="gramStart"/>
      <w:r w:rsidRPr="0026001F">
        <w:rPr>
          <w:rFonts w:ascii="Times New Roman" w:hAnsi="Times New Roman" w:cs="Times New Roman"/>
          <w:sz w:val="24"/>
          <w:szCs w:val="24"/>
        </w:rPr>
        <w:t>suitland</w:t>
      </w:r>
      <w:proofErr w:type="gramEnd"/>
      <w:r w:rsidRPr="0026001F">
        <w:rPr>
          <w:rFonts w:ascii="Times New Roman" w:hAnsi="Times New Roman" w:cs="Times New Roman"/>
          <w:sz w:val="24"/>
          <w:szCs w:val="24"/>
        </w:rPr>
        <w:t xml:space="preserve"> currently as a kibanja owner.</w:t>
      </w:r>
    </w:p>
    <w:p w:rsidR="0021688C" w:rsidRPr="0026001F" w:rsidRDefault="0021688C" w:rsidP="004C1336">
      <w:pPr>
        <w:spacing w:line="360" w:lineRule="auto"/>
        <w:rPr>
          <w:rFonts w:ascii="Times New Roman" w:hAnsi="Times New Roman" w:cs="Times New Roman"/>
          <w:sz w:val="24"/>
          <w:szCs w:val="24"/>
        </w:rPr>
      </w:pPr>
    </w:p>
    <w:p w:rsidR="0021688C" w:rsidRPr="0026001F" w:rsidRDefault="0021688C"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 xml:space="preserve">In 2006, the Plaintiff bought a mailo interest in the suit land from Besweri Lutakome and was issued with transfer forms and enabling instruments.  The Plaintiff then began requesting for the titles in order to </w:t>
      </w:r>
      <w:proofErr w:type="gramStart"/>
      <w:r w:rsidRPr="0026001F">
        <w:rPr>
          <w:rFonts w:ascii="Times New Roman" w:hAnsi="Times New Roman" w:cs="Times New Roman"/>
          <w:sz w:val="24"/>
          <w:szCs w:val="24"/>
        </w:rPr>
        <w:t>effect</w:t>
      </w:r>
      <w:proofErr w:type="gramEnd"/>
      <w:r w:rsidRPr="0026001F">
        <w:rPr>
          <w:rFonts w:ascii="Times New Roman" w:hAnsi="Times New Roman" w:cs="Times New Roman"/>
          <w:sz w:val="24"/>
          <w:szCs w:val="24"/>
        </w:rPr>
        <w:t xml:space="preserve"> the transfers, but Besweri informed him that the title was missing.  However, upon conducting a search in the Land office, he discovered that the land had been fraudulently transferred into the names of a one Stephen Eriaku and Alvin Ssetuba.  This evidence is supported by the annexture</w:t>
      </w:r>
      <w:r w:rsidR="008A23FB" w:rsidRPr="0026001F">
        <w:rPr>
          <w:rFonts w:ascii="Times New Roman" w:hAnsi="Times New Roman" w:cs="Times New Roman"/>
          <w:sz w:val="24"/>
          <w:szCs w:val="24"/>
        </w:rPr>
        <w:t>s</w:t>
      </w:r>
      <w:r w:rsidRPr="0026001F">
        <w:rPr>
          <w:rFonts w:ascii="Times New Roman" w:hAnsi="Times New Roman" w:cs="Times New Roman"/>
          <w:sz w:val="24"/>
          <w:szCs w:val="24"/>
        </w:rPr>
        <w:t xml:space="preserve"> and exhibits PE</w:t>
      </w:r>
      <w:r w:rsidR="00362A75" w:rsidRPr="0026001F">
        <w:rPr>
          <w:rFonts w:ascii="Times New Roman" w:hAnsi="Times New Roman" w:cs="Times New Roman"/>
          <w:sz w:val="24"/>
          <w:szCs w:val="24"/>
        </w:rPr>
        <w:t>1</w:t>
      </w:r>
      <w:r w:rsidR="002A12D3" w:rsidRPr="0026001F">
        <w:rPr>
          <w:rFonts w:ascii="Times New Roman" w:hAnsi="Times New Roman" w:cs="Times New Roman"/>
          <w:sz w:val="24"/>
          <w:szCs w:val="24"/>
        </w:rPr>
        <w:t>, PE2 and PE3 (</w:t>
      </w:r>
      <w:r w:rsidR="002A12D3" w:rsidRPr="0026001F">
        <w:rPr>
          <w:rFonts w:ascii="Times New Roman" w:hAnsi="Times New Roman" w:cs="Times New Roman"/>
          <w:i/>
          <w:sz w:val="24"/>
          <w:szCs w:val="24"/>
        </w:rPr>
        <w:t>sale agreement, transfer forms and phot</w:t>
      </w:r>
      <w:r w:rsidR="00847542" w:rsidRPr="0026001F">
        <w:rPr>
          <w:rFonts w:ascii="Times New Roman" w:hAnsi="Times New Roman" w:cs="Times New Roman"/>
          <w:i/>
          <w:sz w:val="24"/>
          <w:szCs w:val="24"/>
        </w:rPr>
        <w:t>o</w:t>
      </w:r>
      <w:r w:rsidR="002A12D3" w:rsidRPr="0026001F">
        <w:rPr>
          <w:rFonts w:ascii="Times New Roman" w:hAnsi="Times New Roman" w:cs="Times New Roman"/>
          <w:i/>
          <w:sz w:val="24"/>
          <w:szCs w:val="24"/>
        </w:rPr>
        <w:t>s of the burial grounds).</w:t>
      </w:r>
    </w:p>
    <w:p w:rsidR="002A12D3" w:rsidRPr="0026001F" w:rsidRDefault="002A12D3"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From that evidence, this Court now determines the issues as herebelow:</w:t>
      </w:r>
    </w:p>
    <w:p w:rsidR="00D57D6F" w:rsidRPr="0026001F" w:rsidRDefault="00D57D6F" w:rsidP="00D57D6F">
      <w:pPr>
        <w:spacing w:line="360" w:lineRule="auto"/>
        <w:rPr>
          <w:rFonts w:ascii="Times New Roman" w:hAnsi="Times New Roman" w:cs="Times New Roman"/>
          <w:sz w:val="24"/>
          <w:szCs w:val="24"/>
        </w:rPr>
      </w:pPr>
      <w:r w:rsidRPr="0026001F">
        <w:rPr>
          <w:rFonts w:ascii="Times New Roman" w:hAnsi="Times New Roman" w:cs="Times New Roman"/>
          <w:b/>
          <w:sz w:val="24"/>
          <w:szCs w:val="24"/>
        </w:rPr>
        <w:t>Issue No. 1</w:t>
      </w:r>
      <w:r w:rsidRPr="0026001F">
        <w:rPr>
          <w:rFonts w:ascii="Times New Roman" w:hAnsi="Times New Roman" w:cs="Times New Roman"/>
          <w:sz w:val="24"/>
          <w:szCs w:val="24"/>
        </w:rPr>
        <w:t>;</w:t>
      </w:r>
    </w:p>
    <w:p w:rsidR="002A12D3" w:rsidRPr="0026001F" w:rsidRDefault="00C1654D" w:rsidP="00D57D6F">
      <w:pPr>
        <w:spacing w:line="360" w:lineRule="auto"/>
        <w:rPr>
          <w:rFonts w:ascii="Times New Roman" w:hAnsi="Times New Roman" w:cs="Times New Roman"/>
          <w:sz w:val="24"/>
          <w:szCs w:val="24"/>
        </w:rPr>
      </w:pPr>
      <w:r w:rsidRPr="0026001F">
        <w:rPr>
          <w:rFonts w:ascii="Times New Roman" w:hAnsi="Times New Roman" w:cs="Times New Roman"/>
          <w:sz w:val="24"/>
          <w:szCs w:val="24"/>
          <w:u w:val="single"/>
        </w:rPr>
        <w:t>Whether</w:t>
      </w:r>
      <w:r w:rsidR="002A12D3" w:rsidRPr="0026001F">
        <w:rPr>
          <w:rFonts w:ascii="Times New Roman" w:hAnsi="Times New Roman" w:cs="Times New Roman"/>
          <w:sz w:val="24"/>
          <w:szCs w:val="24"/>
          <w:u w:val="single"/>
        </w:rPr>
        <w:t xml:space="preserve"> the Plaintiff is a bonafide</w:t>
      </w:r>
      <w:r w:rsidR="004A52D8" w:rsidRPr="0026001F">
        <w:rPr>
          <w:rFonts w:ascii="Times New Roman" w:hAnsi="Times New Roman" w:cs="Times New Roman"/>
          <w:sz w:val="24"/>
          <w:szCs w:val="24"/>
          <w:u w:val="single"/>
        </w:rPr>
        <w:t>/</w:t>
      </w:r>
      <w:r w:rsidR="002A12D3" w:rsidRPr="0026001F">
        <w:rPr>
          <w:rFonts w:ascii="Times New Roman" w:hAnsi="Times New Roman" w:cs="Times New Roman"/>
          <w:sz w:val="24"/>
          <w:szCs w:val="24"/>
          <w:u w:val="single"/>
        </w:rPr>
        <w:t>lawful occupant of the suit land</w:t>
      </w:r>
    </w:p>
    <w:p w:rsidR="002A12D3" w:rsidRPr="0026001F" w:rsidRDefault="002A12D3" w:rsidP="002A12D3">
      <w:pPr>
        <w:spacing w:line="360" w:lineRule="auto"/>
        <w:rPr>
          <w:rFonts w:ascii="Times New Roman" w:hAnsi="Times New Roman" w:cs="Times New Roman"/>
          <w:sz w:val="24"/>
          <w:szCs w:val="24"/>
        </w:rPr>
      </w:pPr>
      <w:r w:rsidRPr="0026001F">
        <w:rPr>
          <w:rFonts w:ascii="Times New Roman" w:hAnsi="Times New Roman" w:cs="Times New Roman"/>
          <w:sz w:val="24"/>
          <w:szCs w:val="24"/>
        </w:rPr>
        <w:t xml:space="preserve">From </w:t>
      </w:r>
      <w:r w:rsidRPr="0026001F">
        <w:rPr>
          <w:rFonts w:ascii="Times New Roman" w:hAnsi="Times New Roman" w:cs="Times New Roman"/>
          <w:b/>
          <w:sz w:val="24"/>
          <w:szCs w:val="24"/>
        </w:rPr>
        <w:t xml:space="preserve">Section 1 (e) </w:t>
      </w:r>
      <w:r w:rsidRPr="0026001F">
        <w:rPr>
          <w:rFonts w:ascii="Times New Roman" w:hAnsi="Times New Roman" w:cs="Times New Roman"/>
          <w:sz w:val="24"/>
          <w:szCs w:val="24"/>
        </w:rPr>
        <w:t>of the</w:t>
      </w:r>
      <w:r w:rsidRPr="0026001F">
        <w:rPr>
          <w:rFonts w:ascii="Times New Roman" w:hAnsi="Times New Roman" w:cs="Times New Roman"/>
          <w:b/>
          <w:sz w:val="24"/>
          <w:szCs w:val="24"/>
        </w:rPr>
        <w:t xml:space="preserve"> land Act (Cap 227)</w:t>
      </w:r>
      <w:r w:rsidR="0058096C" w:rsidRPr="0026001F">
        <w:rPr>
          <w:rFonts w:ascii="Times New Roman" w:hAnsi="Times New Roman" w:cs="Times New Roman"/>
          <w:sz w:val="24"/>
          <w:szCs w:val="24"/>
        </w:rPr>
        <w:t>, ‘</w:t>
      </w:r>
      <w:r w:rsidR="0058096C" w:rsidRPr="0026001F">
        <w:rPr>
          <w:rFonts w:ascii="Times New Roman" w:hAnsi="Times New Roman" w:cs="Times New Roman"/>
          <w:i/>
          <w:sz w:val="24"/>
          <w:szCs w:val="24"/>
        </w:rPr>
        <w:t>bonafide</w:t>
      </w:r>
      <w:r w:rsidRPr="0026001F">
        <w:rPr>
          <w:rFonts w:ascii="Times New Roman" w:hAnsi="Times New Roman" w:cs="Times New Roman"/>
          <w:i/>
          <w:sz w:val="24"/>
          <w:szCs w:val="24"/>
        </w:rPr>
        <w:t xml:space="preserve"> occupants and lawful occupants,’ have the meanings assigned to them in </w:t>
      </w:r>
      <w:r w:rsidR="00DE5EE2" w:rsidRPr="0026001F">
        <w:rPr>
          <w:rFonts w:ascii="Times New Roman" w:hAnsi="Times New Roman" w:cs="Times New Roman"/>
          <w:b/>
          <w:i/>
          <w:sz w:val="24"/>
          <w:szCs w:val="24"/>
        </w:rPr>
        <w:t>S</w:t>
      </w:r>
      <w:r w:rsidRPr="0026001F">
        <w:rPr>
          <w:rFonts w:ascii="Times New Roman" w:hAnsi="Times New Roman" w:cs="Times New Roman"/>
          <w:b/>
          <w:i/>
          <w:sz w:val="24"/>
          <w:szCs w:val="24"/>
        </w:rPr>
        <w:t xml:space="preserve">ection </w:t>
      </w:r>
      <w:r w:rsidR="0058096C" w:rsidRPr="0026001F">
        <w:rPr>
          <w:rFonts w:ascii="Times New Roman" w:hAnsi="Times New Roman" w:cs="Times New Roman"/>
          <w:b/>
          <w:i/>
          <w:sz w:val="24"/>
          <w:szCs w:val="24"/>
        </w:rPr>
        <w:t xml:space="preserve">29 </w:t>
      </w:r>
      <w:r w:rsidR="0058096C" w:rsidRPr="0026001F">
        <w:rPr>
          <w:rFonts w:ascii="Times New Roman" w:hAnsi="Times New Roman" w:cs="Times New Roman"/>
          <w:i/>
          <w:sz w:val="24"/>
          <w:szCs w:val="24"/>
        </w:rPr>
        <w:t>of the</w:t>
      </w:r>
      <w:r w:rsidR="0058096C" w:rsidRPr="0026001F">
        <w:rPr>
          <w:rFonts w:ascii="Times New Roman" w:hAnsi="Times New Roman" w:cs="Times New Roman"/>
          <w:b/>
          <w:i/>
          <w:sz w:val="24"/>
          <w:szCs w:val="24"/>
        </w:rPr>
        <w:t xml:space="preserve"> Act.</w:t>
      </w:r>
    </w:p>
    <w:p w:rsidR="0058096C" w:rsidRPr="0026001F" w:rsidRDefault="0058096C" w:rsidP="002A12D3">
      <w:pPr>
        <w:spacing w:line="360" w:lineRule="auto"/>
        <w:rPr>
          <w:rFonts w:ascii="Times New Roman" w:hAnsi="Times New Roman" w:cs="Times New Roman"/>
          <w:sz w:val="24"/>
          <w:szCs w:val="24"/>
        </w:rPr>
      </w:pPr>
      <w:r w:rsidRPr="0026001F">
        <w:rPr>
          <w:rFonts w:ascii="Times New Roman" w:hAnsi="Times New Roman" w:cs="Times New Roman"/>
          <w:sz w:val="24"/>
          <w:szCs w:val="24"/>
        </w:rPr>
        <w:t>There is evidence on record to show that the Plaintiff has been in occupation of the suit land for over 12 (</w:t>
      </w:r>
      <w:r w:rsidRPr="0026001F">
        <w:rPr>
          <w:rFonts w:ascii="Times New Roman" w:hAnsi="Times New Roman" w:cs="Times New Roman"/>
          <w:i/>
          <w:sz w:val="24"/>
          <w:szCs w:val="24"/>
        </w:rPr>
        <w:t>twelve)</w:t>
      </w:r>
      <w:r w:rsidR="00AA08CF" w:rsidRPr="0026001F">
        <w:rPr>
          <w:rFonts w:ascii="Times New Roman" w:hAnsi="Times New Roman" w:cs="Times New Roman"/>
          <w:sz w:val="24"/>
          <w:szCs w:val="24"/>
        </w:rPr>
        <w:t xml:space="preserve"> years and has developed his kibanja with a house and a farm.  The kibanja also has </w:t>
      </w:r>
      <w:r w:rsidR="00C1654D" w:rsidRPr="0026001F">
        <w:rPr>
          <w:rFonts w:ascii="Times New Roman" w:hAnsi="Times New Roman" w:cs="Times New Roman"/>
          <w:sz w:val="24"/>
          <w:szCs w:val="24"/>
        </w:rPr>
        <w:t>burial</w:t>
      </w:r>
      <w:r w:rsidR="00AA08CF" w:rsidRPr="0026001F">
        <w:rPr>
          <w:rFonts w:ascii="Times New Roman" w:hAnsi="Times New Roman" w:cs="Times New Roman"/>
          <w:sz w:val="24"/>
          <w:szCs w:val="24"/>
        </w:rPr>
        <w:t xml:space="preserve"> grounds for the Plaintiff’s family.  </w:t>
      </w:r>
      <w:r w:rsidR="00AA08CF" w:rsidRPr="0026001F">
        <w:rPr>
          <w:rFonts w:ascii="Times New Roman" w:hAnsi="Times New Roman" w:cs="Times New Roman"/>
          <w:i/>
          <w:sz w:val="24"/>
          <w:szCs w:val="24"/>
        </w:rPr>
        <w:t>(</w:t>
      </w:r>
      <w:r w:rsidR="00E95FB0" w:rsidRPr="0026001F">
        <w:rPr>
          <w:rFonts w:ascii="Times New Roman" w:hAnsi="Times New Roman" w:cs="Times New Roman"/>
          <w:i/>
          <w:sz w:val="24"/>
          <w:szCs w:val="24"/>
        </w:rPr>
        <w:t>See</w:t>
      </w:r>
      <w:r w:rsidR="00AA08CF" w:rsidRPr="0026001F">
        <w:rPr>
          <w:rFonts w:ascii="Times New Roman" w:hAnsi="Times New Roman" w:cs="Times New Roman"/>
          <w:i/>
          <w:sz w:val="24"/>
          <w:szCs w:val="24"/>
        </w:rPr>
        <w:t xml:space="preserve"> paragraphs 6, 7, 8, 9, </w:t>
      </w:r>
      <w:r w:rsidR="00E95FB0" w:rsidRPr="0026001F">
        <w:rPr>
          <w:rFonts w:ascii="Times New Roman" w:hAnsi="Times New Roman" w:cs="Times New Roman"/>
          <w:i/>
          <w:sz w:val="24"/>
          <w:szCs w:val="24"/>
        </w:rPr>
        <w:t>and 10</w:t>
      </w:r>
      <w:r w:rsidR="00AA08CF" w:rsidRPr="0026001F">
        <w:rPr>
          <w:rFonts w:ascii="Times New Roman" w:hAnsi="Times New Roman" w:cs="Times New Roman"/>
          <w:i/>
          <w:sz w:val="24"/>
          <w:szCs w:val="24"/>
        </w:rPr>
        <w:t xml:space="preserve"> of the</w:t>
      </w:r>
      <w:r w:rsidR="00C1654D" w:rsidRPr="0026001F">
        <w:rPr>
          <w:rFonts w:ascii="Times New Roman" w:hAnsi="Times New Roman" w:cs="Times New Roman"/>
          <w:i/>
          <w:sz w:val="24"/>
          <w:szCs w:val="24"/>
        </w:rPr>
        <w:t xml:space="preserve"> </w:t>
      </w:r>
      <w:r w:rsidR="00AA08CF" w:rsidRPr="0026001F">
        <w:rPr>
          <w:rFonts w:ascii="Times New Roman" w:hAnsi="Times New Roman" w:cs="Times New Roman"/>
          <w:i/>
          <w:sz w:val="24"/>
          <w:szCs w:val="24"/>
        </w:rPr>
        <w:t>witness statement)</w:t>
      </w:r>
      <w:r w:rsidR="00AA08CF" w:rsidRPr="0026001F">
        <w:rPr>
          <w:rFonts w:ascii="Times New Roman" w:hAnsi="Times New Roman" w:cs="Times New Roman"/>
          <w:sz w:val="24"/>
          <w:szCs w:val="24"/>
        </w:rPr>
        <w:t>.</w:t>
      </w:r>
    </w:p>
    <w:p w:rsidR="00AA08CF" w:rsidRPr="0026001F" w:rsidRDefault="00AA08CF" w:rsidP="002A12D3">
      <w:pPr>
        <w:spacing w:line="360" w:lineRule="auto"/>
        <w:rPr>
          <w:rFonts w:ascii="Times New Roman" w:hAnsi="Times New Roman" w:cs="Times New Roman"/>
          <w:sz w:val="24"/>
          <w:szCs w:val="24"/>
        </w:rPr>
      </w:pPr>
    </w:p>
    <w:p w:rsidR="00AA08CF" w:rsidRPr="0026001F" w:rsidRDefault="00AA08CF" w:rsidP="002A12D3">
      <w:pPr>
        <w:spacing w:line="360" w:lineRule="auto"/>
        <w:rPr>
          <w:rFonts w:ascii="Times New Roman" w:hAnsi="Times New Roman" w:cs="Times New Roman"/>
          <w:sz w:val="24"/>
          <w:szCs w:val="24"/>
        </w:rPr>
      </w:pPr>
      <w:r w:rsidRPr="0026001F">
        <w:rPr>
          <w:rFonts w:ascii="Times New Roman" w:hAnsi="Times New Roman" w:cs="Times New Roman"/>
          <w:sz w:val="24"/>
          <w:szCs w:val="24"/>
        </w:rPr>
        <w:t>The Plaintiff has further testified that he exercised the right to buy a mailo interest in the suit land from the late Besweri as per the exhibits P1 and P3 (</w:t>
      </w:r>
      <w:r w:rsidRPr="0026001F">
        <w:rPr>
          <w:rFonts w:ascii="Times New Roman" w:hAnsi="Times New Roman" w:cs="Times New Roman"/>
          <w:i/>
          <w:sz w:val="24"/>
          <w:szCs w:val="24"/>
        </w:rPr>
        <w:t>sale agreement and transfer forms)</w:t>
      </w:r>
      <w:r w:rsidR="00C35A27" w:rsidRPr="0026001F">
        <w:rPr>
          <w:rFonts w:ascii="Times New Roman" w:hAnsi="Times New Roman" w:cs="Times New Roman"/>
          <w:sz w:val="24"/>
          <w:szCs w:val="24"/>
        </w:rPr>
        <w:t>.</w:t>
      </w:r>
    </w:p>
    <w:p w:rsidR="00C35A27" w:rsidRPr="0026001F" w:rsidRDefault="00C35A27" w:rsidP="002A12D3">
      <w:pPr>
        <w:spacing w:line="360" w:lineRule="auto"/>
        <w:rPr>
          <w:rFonts w:ascii="Times New Roman" w:hAnsi="Times New Roman" w:cs="Times New Roman"/>
          <w:sz w:val="24"/>
          <w:szCs w:val="24"/>
        </w:rPr>
      </w:pPr>
      <w:r w:rsidRPr="0026001F">
        <w:rPr>
          <w:rFonts w:ascii="Times New Roman" w:hAnsi="Times New Roman" w:cs="Times New Roman"/>
          <w:sz w:val="24"/>
          <w:szCs w:val="24"/>
        </w:rPr>
        <w:t>This evidence confirms that the Plaintiff is a bonafide/lawful occupant on the registered land by virture of having been there for over 12 (</w:t>
      </w:r>
      <w:r w:rsidRPr="0026001F">
        <w:rPr>
          <w:rFonts w:ascii="Times New Roman" w:hAnsi="Times New Roman" w:cs="Times New Roman"/>
          <w:i/>
          <w:sz w:val="24"/>
          <w:szCs w:val="24"/>
        </w:rPr>
        <w:t>twelve)</w:t>
      </w:r>
      <w:r w:rsidRPr="0026001F">
        <w:rPr>
          <w:rFonts w:ascii="Times New Roman" w:hAnsi="Times New Roman" w:cs="Times New Roman"/>
          <w:sz w:val="24"/>
          <w:szCs w:val="24"/>
        </w:rPr>
        <w:t xml:space="preserve"> years and having bought his mailo interest from the registered proprietor – Besweri Lutakome.</w:t>
      </w:r>
    </w:p>
    <w:p w:rsidR="00C35A27" w:rsidRPr="0026001F" w:rsidRDefault="00C35A27" w:rsidP="002A12D3">
      <w:pPr>
        <w:spacing w:line="360" w:lineRule="auto"/>
        <w:rPr>
          <w:rFonts w:ascii="Times New Roman" w:hAnsi="Times New Roman" w:cs="Times New Roman"/>
          <w:sz w:val="24"/>
          <w:szCs w:val="24"/>
        </w:rPr>
      </w:pPr>
      <w:r w:rsidRPr="0026001F">
        <w:rPr>
          <w:rFonts w:ascii="Times New Roman" w:hAnsi="Times New Roman" w:cs="Times New Roman"/>
          <w:b/>
          <w:sz w:val="24"/>
          <w:szCs w:val="24"/>
        </w:rPr>
        <w:t>Section 29(1</w:t>
      </w:r>
      <w:r w:rsidR="00E95FB0" w:rsidRPr="0026001F">
        <w:rPr>
          <w:rFonts w:ascii="Times New Roman" w:hAnsi="Times New Roman" w:cs="Times New Roman"/>
          <w:b/>
          <w:sz w:val="24"/>
          <w:szCs w:val="24"/>
        </w:rPr>
        <w:t>) (</w:t>
      </w:r>
      <w:r w:rsidRPr="0026001F">
        <w:rPr>
          <w:rFonts w:ascii="Times New Roman" w:hAnsi="Times New Roman" w:cs="Times New Roman"/>
          <w:b/>
          <w:sz w:val="24"/>
          <w:szCs w:val="24"/>
        </w:rPr>
        <w:t xml:space="preserve">b) </w:t>
      </w:r>
      <w:r w:rsidRPr="0026001F">
        <w:rPr>
          <w:rFonts w:ascii="Times New Roman" w:hAnsi="Times New Roman" w:cs="Times New Roman"/>
          <w:sz w:val="24"/>
          <w:szCs w:val="24"/>
        </w:rPr>
        <w:t>of the</w:t>
      </w:r>
      <w:r w:rsidRPr="0026001F">
        <w:rPr>
          <w:rFonts w:ascii="Times New Roman" w:hAnsi="Times New Roman" w:cs="Times New Roman"/>
          <w:b/>
          <w:sz w:val="24"/>
          <w:szCs w:val="24"/>
        </w:rPr>
        <w:t xml:space="preserve"> Land Act</w:t>
      </w:r>
      <w:r w:rsidRPr="0026001F">
        <w:rPr>
          <w:rFonts w:ascii="Times New Roman" w:hAnsi="Times New Roman" w:cs="Times New Roman"/>
          <w:sz w:val="24"/>
          <w:szCs w:val="24"/>
        </w:rPr>
        <w:t xml:space="preserve"> defines lawful occupant as;</w:t>
      </w:r>
    </w:p>
    <w:p w:rsidR="00C35A27" w:rsidRPr="0026001F" w:rsidRDefault="00C35A27" w:rsidP="00C35A27">
      <w:pPr>
        <w:spacing w:line="360" w:lineRule="auto"/>
        <w:ind w:left="720"/>
        <w:rPr>
          <w:rFonts w:ascii="Times New Roman" w:hAnsi="Times New Roman" w:cs="Times New Roman"/>
          <w:i/>
          <w:sz w:val="24"/>
          <w:szCs w:val="24"/>
        </w:rPr>
      </w:pPr>
      <w:r w:rsidRPr="0026001F">
        <w:rPr>
          <w:rFonts w:ascii="Times New Roman" w:hAnsi="Times New Roman" w:cs="Times New Roman"/>
          <w:sz w:val="24"/>
          <w:szCs w:val="24"/>
        </w:rPr>
        <w:lastRenderedPageBreak/>
        <w:t>‘</w:t>
      </w:r>
      <w:r w:rsidR="00581767" w:rsidRPr="0026001F">
        <w:rPr>
          <w:rFonts w:ascii="Times New Roman" w:hAnsi="Times New Roman" w:cs="Times New Roman"/>
          <w:i/>
          <w:sz w:val="24"/>
          <w:szCs w:val="24"/>
        </w:rPr>
        <w:t>A p</w:t>
      </w:r>
      <w:r w:rsidR="00E95FB0" w:rsidRPr="0026001F">
        <w:rPr>
          <w:rFonts w:ascii="Times New Roman" w:hAnsi="Times New Roman" w:cs="Times New Roman"/>
          <w:i/>
          <w:sz w:val="24"/>
          <w:szCs w:val="24"/>
        </w:rPr>
        <w:t>erson</w:t>
      </w:r>
      <w:r w:rsidRPr="0026001F">
        <w:rPr>
          <w:rFonts w:ascii="Times New Roman" w:hAnsi="Times New Roman" w:cs="Times New Roman"/>
          <w:i/>
          <w:sz w:val="24"/>
          <w:szCs w:val="24"/>
        </w:rPr>
        <w:t xml:space="preserve"> who entered the land with the consent of the registered owner; and includes a purchaser</w:t>
      </w:r>
      <w:proofErr w:type="gramStart"/>
      <w:r w:rsidRPr="0026001F">
        <w:rPr>
          <w:rFonts w:ascii="Times New Roman" w:hAnsi="Times New Roman" w:cs="Times New Roman"/>
          <w:i/>
          <w:sz w:val="24"/>
          <w:szCs w:val="24"/>
        </w:rPr>
        <w:t>..’</w:t>
      </w:r>
      <w:proofErr w:type="gramEnd"/>
    </w:p>
    <w:p w:rsidR="00D1490F" w:rsidRPr="0026001F" w:rsidRDefault="00FD4206" w:rsidP="00BC054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 xml:space="preserve">I agree with Counsel for the Plaintiff in his assertion that </w:t>
      </w:r>
      <w:r w:rsidRPr="0026001F">
        <w:rPr>
          <w:rFonts w:ascii="Times New Roman" w:hAnsi="Times New Roman" w:cs="Times New Roman"/>
          <w:b/>
          <w:sz w:val="24"/>
          <w:szCs w:val="24"/>
        </w:rPr>
        <w:t>Article 237(8) of t</w:t>
      </w:r>
      <w:r w:rsidR="00BA3AA5" w:rsidRPr="0026001F">
        <w:rPr>
          <w:rFonts w:ascii="Times New Roman" w:hAnsi="Times New Roman" w:cs="Times New Roman"/>
          <w:b/>
          <w:sz w:val="24"/>
          <w:szCs w:val="24"/>
        </w:rPr>
        <w:t xml:space="preserve">he Constitution, Sec 31 </w:t>
      </w:r>
      <w:r w:rsidR="00BA3AA5" w:rsidRPr="0026001F">
        <w:rPr>
          <w:rFonts w:ascii="Times New Roman" w:hAnsi="Times New Roman" w:cs="Times New Roman"/>
          <w:sz w:val="24"/>
          <w:szCs w:val="24"/>
        </w:rPr>
        <w:t>of the</w:t>
      </w:r>
      <w:r w:rsidR="00BA3AA5" w:rsidRPr="0026001F">
        <w:rPr>
          <w:rFonts w:ascii="Times New Roman" w:hAnsi="Times New Roman" w:cs="Times New Roman"/>
          <w:b/>
          <w:sz w:val="24"/>
          <w:szCs w:val="24"/>
        </w:rPr>
        <w:t xml:space="preserve"> L</w:t>
      </w:r>
      <w:r w:rsidRPr="0026001F">
        <w:rPr>
          <w:rFonts w:ascii="Times New Roman" w:hAnsi="Times New Roman" w:cs="Times New Roman"/>
          <w:b/>
          <w:sz w:val="24"/>
          <w:szCs w:val="24"/>
        </w:rPr>
        <w:t>and Act,</w:t>
      </w:r>
      <w:r w:rsidRPr="0026001F">
        <w:rPr>
          <w:rFonts w:ascii="Times New Roman" w:hAnsi="Times New Roman" w:cs="Times New Roman"/>
          <w:sz w:val="24"/>
          <w:szCs w:val="24"/>
        </w:rPr>
        <w:t xml:space="preserve"> (</w:t>
      </w:r>
      <w:r w:rsidRPr="0026001F">
        <w:rPr>
          <w:rFonts w:ascii="Times New Roman" w:hAnsi="Times New Roman" w:cs="Times New Roman"/>
          <w:i/>
          <w:sz w:val="24"/>
          <w:szCs w:val="24"/>
        </w:rPr>
        <w:t>supra)</w:t>
      </w:r>
      <w:r w:rsidR="00BC0549" w:rsidRPr="0026001F">
        <w:rPr>
          <w:rFonts w:ascii="Times New Roman" w:hAnsi="Times New Roman" w:cs="Times New Roman"/>
          <w:i/>
          <w:sz w:val="24"/>
          <w:szCs w:val="24"/>
        </w:rPr>
        <w:t xml:space="preserve">, </w:t>
      </w:r>
      <w:r w:rsidR="00BC0549" w:rsidRPr="0026001F">
        <w:rPr>
          <w:rFonts w:ascii="Times New Roman" w:hAnsi="Times New Roman" w:cs="Times New Roman"/>
          <w:sz w:val="24"/>
          <w:szCs w:val="24"/>
        </w:rPr>
        <w:t>and</w:t>
      </w:r>
      <w:r w:rsidRPr="0026001F">
        <w:rPr>
          <w:rFonts w:ascii="Times New Roman" w:hAnsi="Times New Roman" w:cs="Times New Roman"/>
          <w:sz w:val="24"/>
          <w:szCs w:val="24"/>
        </w:rPr>
        <w:t xml:space="preserve"> </w:t>
      </w:r>
      <w:r w:rsidRPr="0026001F">
        <w:rPr>
          <w:rFonts w:ascii="Times New Roman" w:hAnsi="Times New Roman" w:cs="Times New Roman"/>
          <w:b/>
          <w:sz w:val="24"/>
          <w:szCs w:val="24"/>
        </w:rPr>
        <w:t xml:space="preserve">Section 64 (2) </w:t>
      </w:r>
      <w:r w:rsidRPr="0026001F">
        <w:rPr>
          <w:rFonts w:ascii="Times New Roman" w:hAnsi="Times New Roman" w:cs="Times New Roman"/>
          <w:sz w:val="24"/>
          <w:szCs w:val="24"/>
        </w:rPr>
        <w:t>of the</w:t>
      </w:r>
      <w:r w:rsidRPr="0026001F">
        <w:rPr>
          <w:rFonts w:ascii="Times New Roman" w:hAnsi="Times New Roman" w:cs="Times New Roman"/>
          <w:b/>
          <w:sz w:val="24"/>
          <w:szCs w:val="24"/>
        </w:rPr>
        <w:t xml:space="preserve"> Registr</w:t>
      </w:r>
      <w:r w:rsidR="00BC0549" w:rsidRPr="0026001F">
        <w:rPr>
          <w:rFonts w:ascii="Times New Roman" w:hAnsi="Times New Roman" w:cs="Times New Roman"/>
          <w:b/>
          <w:sz w:val="24"/>
          <w:szCs w:val="24"/>
        </w:rPr>
        <w:t>ation of Titles Act Cap 230</w:t>
      </w:r>
      <w:r w:rsidR="00BC0549" w:rsidRPr="0026001F">
        <w:rPr>
          <w:rFonts w:ascii="Times New Roman" w:hAnsi="Times New Roman" w:cs="Times New Roman"/>
          <w:sz w:val="24"/>
          <w:szCs w:val="24"/>
        </w:rPr>
        <w:t xml:space="preserve">, recognise </w:t>
      </w:r>
    </w:p>
    <w:p w:rsidR="00D57D6F" w:rsidRPr="0026001F" w:rsidRDefault="00E00F0D" w:rsidP="004C1336">
      <w:pPr>
        <w:spacing w:line="360" w:lineRule="auto"/>
        <w:rPr>
          <w:rFonts w:ascii="Times New Roman" w:hAnsi="Times New Roman" w:cs="Times New Roman"/>
          <w:sz w:val="24"/>
          <w:szCs w:val="24"/>
        </w:rPr>
      </w:pPr>
      <w:proofErr w:type="gramStart"/>
      <w:r w:rsidRPr="0026001F">
        <w:rPr>
          <w:rFonts w:ascii="Times New Roman" w:hAnsi="Times New Roman" w:cs="Times New Roman"/>
          <w:sz w:val="24"/>
          <w:szCs w:val="24"/>
        </w:rPr>
        <w:t>the</w:t>
      </w:r>
      <w:proofErr w:type="gramEnd"/>
      <w:r w:rsidRPr="0026001F">
        <w:rPr>
          <w:rFonts w:ascii="Times New Roman" w:hAnsi="Times New Roman" w:cs="Times New Roman"/>
          <w:sz w:val="24"/>
          <w:szCs w:val="24"/>
        </w:rPr>
        <w:t xml:space="preserve"> security of tenure of a </w:t>
      </w:r>
      <w:r w:rsidR="006E2247" w:rsidRPr="0026001F">
        <w:rPr>
          <w:rFonts w:ascii="Times New Roman" w:hAnsi="Times New Roman" w:cs="Times New Roman"/>
          <w:sz w:val="24"/>
          <w:szCs w:val="24"/>
        </w:rPr>
        <w:t>bonafide</w:t>
      </w:r>
      <w:r w:rsidRPr="0026001F">
        <w:rPr>
          <w:rFonts w:ascii="Times New Roman" w:hAnsi="Times New Roman" w:cs="Times New Roman"/>
          <w:sz w:val="24"/>
          <w:szCs w:val="24"/>
        </w:rPr>
        <w:t xml:space="preserve"> occupant on land.  Such tenant is deemed to be a tenant of the registered owner.  The security of this tenancy was discussed in </w:t>
      </w:r>
      <w:r w:rsidRPr="0026001F">
        <w:rPr>
          <w:rFonts w:ascii="Times New Roman" w:hAnsi="Times New Roman" w:cs="Times New Roman"/>
          <w:b/>
          <w:i/>
          <w:sz w:val="24"/>
          <w:szCs w:val="24"/>
          <w:u w:val="single"/>
        </w:rPr>
        <w:t>Kampala Distributors versus National Housing an</w:t>
      </w:r>
      <w:r w:rsidR="00251043" w:rsidRPr="0026001F">
        <w:rPr>
          <w:rFonts w:ascii="Times New Roman" w:hAnsi="Times New Roman" w:cs="Times New Roman"/>
          <w:b/>
          <w:i/>
          <w:sz w:val="24"/>
          <w:szCs w:val="24"/>
          <w:u w:val="single"/>
        </w:rPr>
        <w:t>d</w:t>
      </w:r>
      <w:r w:rsidRPr="0026001F">
        <w:rPr>
          <w:rFonts w:ascii="Times New Roman" w:hAnsi="Times New Roman" w:cs="Times New Roman"/>
          <w:b/>
          <w:i/>
          <w:sz w:val="24"/>
          <w:szCs w:val="24"/>
          <w:u w:val="single"/>
        </w:rPr>
        <w:t xml:space="preserve"> Construction Corporation SC CA No. 2 of 2007</w:t>
      </w:r>
      <w:r w:rsidRPr="0026001F">
        <w:rPr>
          <w:rFonts w:ascii="Times New Roman" w:hAnsi="Times New Roman" w:cs="Times New Roman"/>
          <w:sz w:val="24"/>
          <w:szCs w:val="24"/>
        </w:rPr>
        <w:t xml:space="preserve">.  The </w:t>
      </w:r>
      <w:r w:rsidRPr="0026001F">
        <w:rPr>
          <w:rFonts w:ascii="Times New Roman" w:hAnsi="Times New Roman" w:cs="Times New Roman"/>
          <w:b/>
          <w:sz w:val="24"/>
          <w:szCs w:val="24"/>
        </w:rPr>
        <w:t>Supreme Court</w:t>
      </w:r>
      <w:r w:rsidRPr="0026001F">
        <w:rPr>
          <w:rFonts w:ascii="Times New Roman" w:hAnsi="Times New Roman" w:cs="Times New Roman"/>
          <w:sz w:val="24"/>
          <w:szCs w:val="24"/>
        </w:rPr>
        <w:t xml:space="preserve"> postulated that a bonafide occupant was given security of tenure and his interest could not be alienated except as provided by the law, and </w:t>
      </w:r>
      <w:r w:rsidR="008245EE" w:rsidRPr="0026001F">
        <w:rPr>
          <w:rFonts w:ascii="Times New Roman" w:hAnsi="Times New Roman" w:cs="Times New Roman"/>
          <w:sz w:val="24"/>
          <w:szCs w:val="24"/>
        </w:rPr>
        <w:t xml:space="preserve">that </w:t>
      </w:r>
      <w:r w:rsidR="00D57D6F" w:rsidRPr="0026001F">
        <w:rPr>
          <w:rFonts w:ascii="Times New Roman" w:hAnsi="Times New Roman" w:cs="Times New Roman"/>
          <w:sz w:val="24"/>
          <w:szCs w:val="24"/>
        </w:rPr>
        <w:t xml:space="preserve">while land occupied by a bonafide occupant could be leased to somebody </w:t>
      </w:r>
      <w:r w:rsidR="00E95FB0" w:rsidRPr="0026001F">
        <w:rPr>
          <w:rFonts w:ascii="Times New Roman" w:hAnsi="Times New Roman" w:cs="Times New Roman"/>
          <w:sz w:val="24"/>
          <w:szCs w:val="24"/>
        </w:rPr>
        <w:t>else</w:t>
      </w:r>
      <w:r w:rsidR="00D57D6F" w:rsidRPr="0026001F">
        <w:rPr>
          <w:rFonts w:ascii="Times New Roman" w:hAnsi="Times New Roman" w:cs="Times New Roman"/>
          <w:sz w:val="24"/>
          <w:szCs w:val="24"/>
        </w:rPr>
        <w:t>, the first option would be given to the bonafide occupant, and if it is not done, it means the suit land would not be available for leasing.</w:t>
      </w:r>
    </w:p>
    <w:p w:rsidR="00D57D6F" w:rsidRPr="0026001F" w:rsidRDefault="00D57D6F"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Form the above position of the law, I am satisfied that the Plaintiff is a lawful/bonafide occupa</w:t>
      </w:r>
      <w:r w:rsidR="00E24548" w:rsidRPr="0026001F">
        <w:rPr>
          <w:rFonts w:ascii="Times New Roman" w:hAnsi="Times New Roman" w:cs="Times New Roman"/>
          <w:sz w:val="24"/>
          <w:szCs w:val="24"/>
        </w:rPr>
        <w:t>n</w:t>
      </w:r>
      <w:r w:rsidRPr="0026001F">
        <w:rPr>
          <w:rFonts w:ascii="Times New Roman" w:hAnsi="Times New Roman" w:cs="Times New Roman"/>
          <w:sz w:val="24"/>
          <w:szCs w:val="24"/>
        </w:rPr>
        <w:t>t of the suit land.</w:t>
      </w:r>
    </w:p>
    <w:p w:rsidR="00D57D6F" w:rsidRPr="0026001F" w:rsidRDefault="00D57D6F" w:rsidP="004C1336">
      <w:pPr>
        <w:spacing w:line="360" w:lineRule="auto"/>
        <w:rPr>
          <w:rFonts w:ascii="Times New Roman" w:hAnsi="Times New Roman" w:cs="Times New Roman"/>
          <w:sz w:val="24"/>
          <w:szCs w:val="24"/>
        </w:rPr>
      </w:pPr>
    </w:p>
    <w:p w:rsidR="00D57D6F" w:rsidRPr="0026001F" w:rsidRDefault="00D57D6F" w:rsidP="004C1336">
      <w:pPr>
        <w:spacing w:line="360" w:lineRule="auto"/>
        <w:rPr>
          <w:rFonts w:ascii="Times New Roman" w:hAnsi="Times New Roman" w:cs="Times New Roman"/>
          <w:sz w:val="24"/>
          <w:szCs w:val="24"/>
        </w:rPr>
      </w:pPr>
      <w:r w:rsidRPr="0026001F">
        <w:rPr>
          <w:rFonts w:ascii="Times New Roman" w:hAnsi="Times New Roman" w:cs="Times New Roman"/>
          <w:b/>
          <w:sz w:val="24"/>
          <w:szCs w:val="24"/>
        </w:rPr>
        <w:t>Issue No. 2</w:t>
      </w:r>
      <w:r w:rsidRPr="0026001F">
        <w:rPr>
          <w:rFonts w:ascii="Times New Roman" w:hAnsi="Times New Roman" w:cs="Times New Roman"/>
          <w:sz w:val="24"/>
          <w:szCs w:val="24"/>
        </w:rPr>
        <w:t>;</w:t>
      </w:r>
    </w:p>
    <w:p w:rsidR="00D57D6F" w:rsidRPr="0026001F" w:rsidRDefault="00DD6FC5"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u w:val="single"/>
        </w:rPr>
        <w:t>Whether</w:t>
      </w:r>
      <w:r w:rsidR="00D57D6F" w:rsidRPr="0026001F">
        <w:rPr>
          <w:rFonts w:ascii="Times New Roman" w:hAnsi="Times New Roman" w:cs="Times New Roman"/>
          <w:sz w:val="24"/>
          <w:szCs w:val="24"/>
          <w:u w:val="single"/>
        </w:rPr>
        <w:t xml:space="preserve"> the Defendant’s</w:t>
      </w:r>
      <w:r w:rsidR="007B5032" w:rsidRPr="0026001F">
        <w:rPr>
          <w:rFonts w:ascii="Times New Roman" w:hAnsi="Times New Roman" w:cs="Times New Roman"/>
          <w:sz w:val="24"/>
          <w:szCs w:val="24"/>
          <w:u w:val="single"/>
        </w:rPr>
        <w:t xml:space="preserve"> C</w:t>
      </w:r>
      <w:r w:rsidR="00D57D6F" w:rsidRPr="0026001F">
        <w:rPr>
          <w:rFonts w:ascii="Times New Roman" w:hAnsi="Times New Roman" w:cs="Times New Roman"/>
          <w:sz w:val="24"/>
          <w:szCs w:val="24"/>
          <w:u w:val="single"/>
        </w:rPr>
        <w:t xml:space="preserve">ertificate of </w:t>
      </w:r>
      <w:r w:rsidR="007B5032" w:rsidRPr="0026001F">
        <w:rPr>
          <w:rFonts w:ascii="Times New Roman" w:hAnsi="Times New Roman" w:cs="Times New Roman"/>
          <w:sz w:val="24"/>
          <w:szCs w:val="24"/>
          <w:u w:val="single"/>
        </w:rPr>
        <w:t>T</w:t>
      </w:r>
      <w:r w:rsidR="00D57D6F" w:rsidRPr="0026001F">
        <w:rPr>
          <w:rFonts w:ascii="Times New Roman" w:hAnsi="Times New Roman" w:cs="Times New Roman"/>
          <w:sz w:val="24"/>
          <w:szCs w:val="24"/>
          <w:u w:val="single"/>
        </w:rPr>
        <w:t>itle is liable to be cancelled on grounds of fraud or illegality</w:t>
      </w:r>
      <w:r w:rsidR="00DE3491" w:rsidRPr="0026001F">
        <w:rPr>
          <w:rFonts w:ascii="Times New Roman" w:hAnsi="Times New Roman" w:cs="Times New Roman"/>
          <w:sz w:val="24"/>
          <w:szCs w:val="24"/>
        </w:rPr>
        <w:t>;</w:t>
      </w:r>
    </w:p>
    <w:p w:rsidR="00DD6FC5" w:rsidRPr="0026001F" w:rsidRDefault="00DD6FC5" w:rsidP="004C1336">
      <w:pPr>
        <w:spacing w:line="360" w:lineRule="auto"/>
        <w:rPr>
          <w:rFonts w:ascii="Times New Roman" w:hAnsi="Times New Roman" w:cs="Times New Roman"/>
          <w:sz w:val="24"/>
          <w:szCs w:val="24"/>
        </w:rPr>
      </w:pPr>
      <w:r w:rsidRPr="0026001F">
        <w:rPr>
          <w:rFonts w:ascii="Times New Roman" w:hAnsi="Times New Roman" w:cs="Times New Roman"/>
          <w:b/>
          <w:sz w:val="24"/>
          <w:szCs w:val="24"/>
        </w:rPr>
        <w:t>Section 59 and 176 (</w:t>
      </w:r>
      <w:r w:rsidR="00E95FB0" w:rsidRPr="0026001F">
        <w:rPr>
          <w:rFonts w:ascii="Times New Roman" w:hAnsi="Times New Roman" w:cs="Times New Roman"/>
          <w:b/>
          <w:sz w:val="24"/>
          <w:szCs w:val="24"/>
        </w:rPr>
        <w:t>c)</w:t>
      </w:r>
      <w:r w:rsidRPr="0026001F">
        <w:rPr>
          <w:rFonts w:ascii="Times New Roman" w:hAnsi="Times New Roman" w:cs="Times New Roman"/>
          <w:b/>
          <w:sz w:val="24"/>
          <w:szCs w:val="24"/>
        </w:rPr>
        <w:t xml:space="preserve"> </w:t>
      </w:r>
      <w:r w:rsidRPr="0026001F">
        <w:rPr>
          <w:rFonts w:ascii="Times New Roman" w:hAnsi="Times New Roman" w:cs="Times New Roman"/>
          <w:sz w:val="24"/>
          <w:szCs w:val="24"/>
        </w:rPr>
        <w:t>of the</w:t>
      </w:r>
      <w:r w:rsidRPr="0026001F">
        <w:rPr>
          <w:rFonts w:ascii="Times New Roman" w:hAnsi="Times New Roman" w:cs="Times New Roman"/>
          <w:b/>
          <w:sz w:val="24"/>
          <w:szCs w:val="24"/>
        </w:rPr>
        <w:t xml:space="preserve"> Registrar of Titles Act</w:t>
      </w:r>
      <w:r w:rsidRPr="0026001F">
        <w:rPr>
          <w:rFonts w:ascii="Times New Roman" w:hAnsi="Times New Roman" w:cs="Times New Roman"/>
          <w:sz w:val="24"/>
          <w:szCs w:val="24"/>
        </w:rPr>
        <w:t>, red together</w:t>
      </w:r>
      <w:r w:rsidR="00D3538C" w:rsidRPr="0026001F">
        <w:rPr>
          <w:rFonts w:ascii="Times New Roman" w:hAnsi="Times New Roman" w:cs="Times New Roman"/>
          <w:sz w:val="24"/>
          <w:szCs w:val="24"/>
        </w:rPr>
        <w:t>,</w:t>
      </w:r>
      <w:r w:rsidRPr="0026001F">
        <w:rPr>
          <w:rFonts w:ascii="Times New Roman" w:hAnsi="Times New Roman" w:cs="Times New Roman"/>
          <w:sz w:val="24"/>
          <w:szCs w:val="24"/>
        </w:rPr>
        <w:t xml:space="preserve"> protect a holder of a </w:t>
      </w:r>
      <w:r w:rsidR="00D3538C" w:rsidRPr="0026001F">
        <w:rPr>
          <w:rFonts w:ascii="Times New Roman" w:hAnsi="Times New Roman" w:cs="Times New Roman"/>
          <w:sz w:val="24"/>
          <w:szCs w:val="24"/>
        </w:rPr>
        <w:t xml:space="preserve">Certificate of Title </w:t>
      </w:r>
      <w:r w:rsidRPr="0026001F">
        <w:rPr>
          <w:rFonts w:ascii="Times New Roman" w:hAnsi="Times New Roman" w:cs="Times New Roman"/>
          <w:sz w:val="24"/>
          <w:szCs w:val="24"/>
        </w:rPr>
        <w:t xml:space="preserve">as conclusive evidence of ownership.  </w:t>
      </w:r>
      <w:r w:rsidR="006A7B89" w:rsidRPr="0026001F">
        <w:rPr>
          <w:rFonts w:ascii="Times New Roman" w:hAnsi="Times New Roman" w:cs="Times New Roman"/>
          <w:sz w:val="24"/>
          <w:szCs w:val="24"/>
        </w:rPr>
        <w:t>Such a title</w:t>
      </w:r>
      <w:r w:rsidRPr="0026001F">
        <w:rPr>
          <w:rFonts w:ascii="Times New Roman" w:hAnsi="Times New Roman" w:cs="Times New Roman"/>
          <w:sz w:val="24"/>
          <w:szCs w:val="24"/>
        </w:rPr>
        <w:t xml:space="preserve"> can only be faulted on grounds of fraud.</w:t>
      </w:r>
    </w:p>
    <w:p w:rsidR="00DD6FC5" w:rsidRPr="0026001F" w:rsidRDefault="00DD6FC5"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 xml:space="preserve">See </w:t>
      </w:r>
      <w:r w:rsidRPr="0026001F">
        <w:rPr>
          <w:rFonts w:ascii="Times New Roman" w:hAnsi="Times New Roman" w:cs="Times New Roman"/>
          <w:b/>
          <w:i/>
          <w:sz w:val="24"/>
          <w:szCs w:val="24"/>
          <w:u w:val="single"/>
        </w:rPr>
        <w:t>John Katalikawe versus William Katwiremu &amp; Anor (1977) HCB 187</w:t>
      </w:r>
      <w:r w:rsidRPr="0026001F">
        <w:rPr>
          <w:rFonts w:ascii="Times New Roman" w:hAnsi="Times New Roman" w:cs="Times New Roman"/>
          <w:sz w:val="24"/>
          <w:szCs w:val="24"/>
        </w:rPr>
        <w:t xml:space="preserve"> </w:t>
      </w:r>
      <w:r w:rsidR="00E95FB0" w:rsidRPr="0026001F">
        <w:rPr>
          <w:rFonts w:ascii="Times New Roman" w:hAnsi="Times New Roman" w:cs="Times New Roman"/>
          <w:sz w:val="24"/>
          <w:szCs w:val="24"/>
        </w:rPr>
        <w:t xml:space="preserve">and </w:t>
      </w:r>
      <w:r w:rsidR="00E95FB0" w:rsidRPr="0026001F">
        <w:rPr>
          <w:rFonts w:ascii="Times New Roman" w:hAnsi="Times New Roman" w:cs="Times New Roman"/>
          <w:b/>
          <w:i/>
          <w:sz w:val="24"/>
          <w:szCs w:val="24"/>
          <w:u w:val="single"/>
        </w:rPr>
        <w:t>Desouza</w:t>
      </w:r>
      <w:r w:rsidRPr="0026001F">
        <w:rPr>
          <w:rFonts w:ascii="Times New Roman" w:hAnsi="Times New Roman" w:cs="Times New Roman"/>
          <w:b/>
          <w:i/>
          <w:sz w:val="24"/>
          <w:szCs w:val="24"/>
          <w:u w:val="single"/>
        </w:rPr>
        <w:t xml:space="preserve"> versus </w:t>
      </w:r>
      <w:r w:rsidR="00E95FB0" w:rsidRPr="0026001F">
        <w:rPr>
          <w:rFonts w:ascii="Times New Roman" w:hAnsi="Times New Roman" w:cs="Times New Roman"/>
          <w:b/>
          <w:i/>
          <w:sz w:val="24"/>
          <w:szCs w:val="24"/>
          <w:u w:val="single"/>
        </w:rPr>
        <w:t>Kas</w:t>
      </w:r>
      <w:r w:rsidR="00E23873" w:rsidRPr="0026001F">
        <w:rPr>
          <w:rFonts w:ascii="Times New Roman" w:hAnsi="Times New Roman" w:cs="Times New Roman"/>
          <w:b/>
          <w:i/>
          <w:sz w:val="24"/>
          <w:szCs w:val="24"/>
          <w:u w:val="single"/>
        </w:rPr>
        <w:t>s</w:t>
      </w:r>
      <w:r w:rsidR="00E95FB0" w:rsidRPr="0026001F">
        <w:rPr>
          <w:rFonts w:ascii="Times New Roman" w:hAnsi="Times New Roman" w:cs="Times New Roman"/>
          <w:b/>
          <w:i/>
          <w:sz w:val="24"/>
          <w:szCs w:val="24"/>
          <w:u w:val="single"/>
        </w:rPr>
        <w:t>amali Manji</w:t>
      </w:r>
      <w:r w:rsidRPr="0026001F">
        <w:rPr>
          <w:rFonts w:ascii="Times New Roman" w:hAnsi="Times New Roman" w:cs="Times New Roman"/>
          <w:b/>
          <w:i/>
          <w:sz w:val="24"/>
          <w:szCs w:val="24"/>
          <w:u w:val="single"/>
        </w:rPr>
        <w:t xml:space="preserve"> 1962 EA 756</w:t>
      </w:r>
      <w:r w:rsidRPr="0026001F">
        <w:rPr>
          <w:rFonts w:ascii="Times New Roman" w:hAnsi="Times New Roman" w:cs="Times New Roman"/>
          <w:sz w:val="24"/>
          <w:szCs w:val="24"/>
        </w:rPr>
        <w:t>.</w:t>
      </w:r>
    </w:p>
    <w:p w:rsidR="00DD6FC5" w:rsidRPr="0026001F" w:rsidRDefault="00DD6FC5" w:rsidP="004C1336">
      <w:pPr>
        <w:spacing w:line="360" w:lineRule="auto"/>
        <w:rPr>
          <w:rFonts w:ascii="Times New Roman" w:hAnsi="Times New Roman" w:cs="Times New Roman"/>
          <w:i/>
          <w:sz w:val="24"/>
          <w:szCs w:val="24"/>
        </w:rPr>
      </w:pPr>
      <w:r w:rsidRPr="0026001F">
        <w:rPr>
          <w:rFonts w:ascii="Times New Roman" w:hAnsi="Times New Roman" w:cs="Times New Roman"/>
          <w:sz w:val="24"/>
          <w:szCs w:val="24"/>
        </w:rPr>
        <w:t xml:space="preserve">The proof of fraud requires a standard beyond </w:t>
      </w:r>
      <w:r w:rsidR="006A7B89" w:rsidRPr="0026001F">
        <w:rPr>
          <w:rFonts w:ascii="Times New Roman" w:hAnsi="Times New Roman" w:cs="Times New Roman"/>
          <w:sz w:val="24"/>
          <w:szCs w:val="24"/>
        </w:rPr>
        <w:t xml:space="preserve">the </w:t>
      </w:r>
      <w:r w:rsidRPr="0026001F">
        <w:rPr>
          <w:rFonts w:ascii="Times New Roman" w:hAnsi="Times New Roman" w:cs="Times New Roman"/>
          <w:sz w:val="24"/>
          <w:szCs w:val="24"/>
        </w:rPr>
        <w:t xml:space="preserve">balance of probabilities.  </w:t>
      </w:r>
      <w:r w:rsidR="006A7B89" w:rsidRPr="0026001F">
        <w:rPr>
          <w:rFonts w:ascii="Times New Roman" w:hAnsi="Times New Roman" w:cs="Times New Roman"/>
          <w:sz w:val="24"/>
          <w:szCs w:val="24"/>
        </w:rPr>
        <w:t xml:space="preserve">In </w:t>
      </w:r>
      <w:r w:rsidRPr="0026001F">
        <w:rPr>
          <w:rFonts w:ascii="Times New Roman" w:hAnsi="Times New Roman" w:cs="Times New Roman"/>
          <w:b/>
          <w:i/>
          <w:sz w:val="24"/>
          <w:szCs w:val="24"/>
          <w:u w:val="single"/>
        </w:rPr>
        <w:t>Sebuliba</w:t>
      </w:r>
      <w:r w:rsidR="00AF320C" w:rsidRPr="0026001F">
        <w:rPr>
          <w:rFonts w:ascii="Times New Roman" w:hAnsi="Times New Roman" w:cs="Times New Roman"/>
          <w:b/>
          <w:i/>
          <w:sz w:val="24"/>
          <w:szCs w:val="24"/>
          <w:u w:val="single"/>
        </w:rPr>
        <w:t xml:space="preserve"> versus Coop bank Ltd. (1987) HCB 130</w:t>
      </w:r>
      <w:r w:rsidR="00AF320C" w:rsidRPr="0026001F">
        <w:rPr>
          <w:rFonts w:ascii="Times New Roman" w:hAnsi="Times New Roman" w:cs="Times New Roman"/>
          <w:b/>
          <w:i/>
          <w:sz w:val="24"/>
          <w:szCs w:val="24"/>
        </w:rPr>
        <w:t xml:space="preserve">, </w:t>
      </w:r>
      <w:r w:rsidR="006A7B89" w:rsidRPr="0026001F">
        <w:rPr>
          <w:rFonts w:ascii="Times New Roman" w:hAnsi="Times New Roman" w:cs="Times New Roman"/>
          <w:sz w:val="24"/>
          <w:szCs w:val="24"/>
        </w:rPr>
        <w:t xml:space="preserve">it is </w:t>
      </w:r>
      <w:r w:rsidR="00AF320C" w:rsidRPr="0026001F">
        <w:rPr>
          <w:rFonts w:ascii="Times New Roman" w:hAnsi="Times New Roman" w:cs="Times New Roman"/>
          <w:sz w:val="24"/>
          <w:szCs w:val="24"/>
        </w:rPr>
        <w:t>state</w:t>
      </w:r>
      <w:r w:rsidR="006A7B89" w:rsidRPr="0026001F">
        <w:rPr>
          <w:rFonts w:ascii="Times New Roman" w:hAnsi="Times New Roman" w:cs="Times New Roman"/>
          <w:sz w:val="24"/>
          <w:szCs w:val="24"/>
        </w:rPr>
        <w:t>d</w:t>
      </w:r>
      <w:r w:rsidR="00AF320C" w:rsidRPr="0026001F">
        <w:rPr>
          <w:rFonts w:ascii="Times New Roman" w:hAnsi="Times New Roman" w:cs="Times New Roman"/>
          <w:sz w:val="24"/>
          <w:szCs w:val="24"/>
        </w:rPr>
        <w:t xml:space="preserve"> that</w:t>
      </w:r>
      <w:r w:rsidR="00AF320C" w:rsidRPr="0026001F">
        <w:rPr>
          <w:rFonts w:ascii="Times New Roman" w:hAnsi="Times New Roman" w:cs="Times New Roman"/>
          <w:i/>
          <w:sz w:val="24"/>
          <w:szCs w:val="24"/>
        </w:rPr>
        <w:t>;</w:t>
      </w:r>
    </w:p>
    <w:p w:rsidR="00AF320C" w:rsidRPr="0026001F" w:rsidRDefault="00AF320C" w:rsidP="00AF320C">
      <w:pPr>
        <w:spacing w:line="360" w:lineRule="auto"/>
        <w:ind w:left="720"/>
        <w:rPr>
          <w:rFonts w:ascii="Times New Roman" w:hAnsi="Times New Roman" w:cs="Times New Roman"/>
          <w:i/>
          <w:sz w:val="24"/>
          <w:szCs w:val="24"/>
        </w:rPr>
      </w:pPr>
      <w:r w:rsidRPr="0026001F">
        <w:rPr>
          <w:rFonts w:ascii="Times New Roman" w:hAnsi="Times New Roman" w:cs="Times New Roman"/>
          <w:i/>
          <w:sz w:val="24"/>
          <w:szCs w:val="24"/>
        </w:rPr>
        <w:t>‘</w:t>
      </w:r>
      <w:r w:rsidR="00E95FB0" w:rsidRPr="0026001F">
        <w:rPr>
          <w:rFonts w:ascii="Times New Roman" w:hAnsi="Times New Roman" w:cs="Times New Roman"/>
          <w:i/>
          <w:sz w:val="24"/>
          <w:szCs w:val="24"/>
        </w:rPr>
        <w:t>The</w:t>
      </w:r>
      <w:r w:rsidRPr="0026001F">
        <w:rPr>
          <w:rFonts w:ascii="Times New Roman" w:hAnsi="Times New Roman" w:cs="Times New Roman"/>
          <w:i/>
          <w:sz w:val="24"/>
          <w:szCs w:val="24"/>
        </w:rPr>
        <w:t xml:space="preserve"> standard of proof in fraud cases is beyond mere balance of probabilities required in ordinary civil cases though not beyond reasonable doubt as in criminal cases.’</w:t>
      </w:r>
    </w:p>
    <w:p w:rsidR="00AF320C" w:rsidRPr="0026001F" w:rsidRDefault="00AF320C" w:rsidP="007E4F20">
      <w:pPr>
        <w:spacing w:line="240" w:lineRule="auto"/>
        <w:ind w:left="720" w:hanging="720"/>
        <w:jc w:val="left"/>
        <w:rPr>
          <w:rFonts w:ascii="Times New Roman" w:hAnsi="Times New Roman" w:cs="Times New Roman"/>
          <w:i/>
          <w:sz w:val="24"/>
          <w:szCs w:val="24"/>
          <w:u w:val="single"/>
        </w:rPr>
      </w:pPr>
      <w:r w:rsidRPr="0026001F">
        <w:rPr>
          <w:rFonts w:ascii="Times New Roman" w:hAnsi="Times New Roman" w:cs="Times New Roman"/>
          <w:sz w:val="24"/>
          <w:szCs w:val="24"/>
        </w:rPr>
        <w:lastRenderedPageBreak/>
        <w:t xml:space="preserve">Fraud is defined by </w:t>
      </w:r>
      <w:r w:rsidR="00E95FB0" w:rsidRPr="0026001F">
        <w:rPr>
          <w:rFonts w:ascii="Times New Roman" w:hAnsi="Times New Roman" w:cs="Times New Roman"/>
          <w:b/>
          <w:i/>
          <w:sz w:val="24"/>
          <w:szCs w:val="24"/>
          <w:u w:val="single"/>
        </w:rPr>
        <w:t>Black’s L</w:t>
      </w:r>
      <w:r w:rsidRPr="0026001F">
        <w:rPr>
          <w:rFonts w:ascii="Times New Roman" w:hAnsi="Times New Roman" w:cs="Times New Roman"/>
          <w:b/>
          <w:i/>
          <w:sz w:val="24"/>
          <w:szCs w:val="24"/>
          <w:u w:val="single"/>
        </w:rPr>
        <w:t>aw Dictionary 6</w:t>
      </w:r>
      <w:r w:rsidRPr="0026001F">
        <w:rPr>
          <w:rFonts w:ascii="Times New Roman" w:hAnsi="Times New Roman" w:cs="Times New Roman"/>
          <w:b/>
          <w:i/>
          <w:sz w:val="24"/>
          <w:szCs w:val="24"/>
          <w:u w:val="single"/>
          <w:vertAlign w:val="superscript"/>
        </w:rPr>
        <w:t>th</w:t>
      </w:r>
      <w:r w:rsidRPr="0026001F">
        <w:rPr>
          <w:rFonts w:ascii="Times New Roman" w:hAnsi="Times New Roman" w:cs="Times New Roman"/>
          <w:b/>
          <w:i/>
          <w:sz w:val="24"/>
          <w:szCs w:val="24"/>
          <w:u w:val="single"/>
        </w:rPr>
        <w:t xml:space="preserve"> Edn at page 660 </w:t>
      </w:r>
      <w:r w:rsidRPr="0026001F">
        <w:rPr>
          <w:rFonts w:ascii="Times New Roman" w:hAnsi="Times New Roman" w:cs="Times New Roman"/>
          <w:sz w:val="24"/>
          <w:szCs w:val="24"/>
        </w:rPr>
        <w:t xml:space="preserve"> </w:t>
      </w:r>
    </w:p>
    <w:p w:rsidR="00AF320C" w:rsidRPr="0026001F" w:rsidRDefault="00AF320C" w:rsidP="007E4F20">
      <w:pPr>
        <w:spacing w:line="240" w:lineRule="auto"/>
        <w:ind w:left="720" w:hanging="720"/>
        <w:jc w:val="left"/>
        <w:rPr>
          <w:rFonts w:ascii="Times New Roman" w:hAnsi="Times New Roman" w:cs="Times New Roman"/>
          <w:i/>
          <w:sz w:val="24"/>
          <w:szCs w:val="24"/>
          <w:u w:val="single"/>
        </w:rPr>
      </w:pPr>
      <w:proofErr w:type="gramStart"/>
      <w:r w:rsidRPr="0026001F">
        <w:rPr>
          <w:rFonts w:ascii="Times New Roman" w:hAnsi="Times New Roman" w:cs="Times New Roman"/>
          <w:sz w:val="24"/>
          <w:szCs w:val="24"/>
        </w:rPr>
        <w:t>as</w:t>
      </w:r>
      <w:proofErr w:type="gramEnd"/>
      <w:r w:rsidRPr="0026001F">
        <w:rPr>
          <w:rFonts w:ascii="Times New Roman" w:hAnsi="Times New Roman" w:cs="Times New Roman"/>
          <w:sz w:val="24"/>
          <w:szCs w:val="24"/>
        </w:rPr>
        <w:t xml:space="preserve"> referred to by </w:t>
      </w:r>
      <w:r w:rsidRPr="0026001F">
        <w:rPr>
          <w:rFonts w:ascii="Times New Roman" w:hAnsi="Times New Roman" w:cs="Times New Roman"/>
          <w:b/>
          <w:sz w:val="24"/>
          <w:szCs w:val="24"/>
        </w:rPr>
        <w:t>Hon. J. Katureebe</w:t>
      </w:r>
      <w:r w:rsidRPr="0026001F">
        <w:rPr>
          <w:rFonts w:ascii="Times New Roman" w:hAnsi="Times New Roman" w:cs="Times New Roman"/>
          <w:i/>
          <w:sz w:val="24"/>
          <w:szCs w:val="24"/>
        </w:rPr>
        <w:t xml:space="preserve"> </w:t>
      </w:r>
      <w:r w:rsidRPr="0026001F">
        <w:rPr>
          <w:rFonts w:ascii="Times New Roman" w:hAnsi="Times New Roman" w:cs="Times New Roman"/>
          <w:sz w:val="24"/>
          <w:szCs w:val="24"/>
        </w:rPr>
        <w:t xml:space="preserve">in </w:t>
      </w:r>
      <w:r w:rsidRPr="0026001F">
        <w:rPr>
          <w:rFonts w:ascii="Times New Roman" w:hAnsi="Times New Roman" w:cs="Times New Roman"/>
          <w:b/>
          <w:i/>
          <w:sz w:val="24"/>
          <w:szCs w:val="24"/>
          <w:u w:val="single"/>
        </w:rPr>
        <w:t>F</w:t>
      </w:r>
      <w:r w:rsidR="0094262F" w:rsidRPr="0026001F">
        <w:rPr>
          <w:rFonts w:ascii="Times New Roman" w:hAnsi="Times New Roman" w:cs="Times New Roman"/>
          <w:b/>
          <w:i/>
          <w:sz w:val="24"/>
          <w:szCs w:val="24"/>
          <w:u w:val="single"/>
        </w:rPr>
        <w:t xml:space="preserve">. </w:t>
      </w:r>
      <w:r w:rsidRPr="0026001F">
        <w:rPr>
          <w:rFonts w:ascii="Times New Roman" w:hAnsi="Times New Roman" w:cs="Times New Roman"/>
          <w:b/>
          <w:i/>
          <w:sz w:val="24"/>
          <w:szCs w:val="24"/>
          <w:u w:val="single"/>
        </w:rPr>
        <w:t>J</w:t>
      </w:r>
      <w:r w:rsidR="0094262F" w:rsidRPr="0026001F">
        <w:rPr>
          <w:rFonts w:ascii="Times New Roman" w:hAnsi="Times New Roman" w:cs="Times New Roman"/>
          <w:b/>
          <w:i/>
          <w:sz w:val="24"/>
          <w:szCs w:val="24"/>
          <w:u w:val="single"/>
        </w:rPr>
        <w:t xml:space="preserve">. </w:t>
      </w:r>
      <w:r w:rsidRPr="0026001F">
        <w:rPr>
          <w:rFonts w:ascii="Times New Roman" w:hAnsi="Times New Roman" w:cs="Times New Roman"/>
          <w:b/>
          <w:i/>
          <w:sz w:val="24"/>
          <w:szCs w:val="24"/>
          <w:u w:val="single"/>
        </w:rPr>
        <w:t xml:space="preserve">K Zaabwe vs Orient </w:t>
      </w:r>
    </w:p>
    <w:p w:rsidR="00FF723F" w:rsidRPr="0026001F" w:rsidRDefault="007E4F20" w:rsidP="00FF723F">
      <w:pPr>
        <w:spacing w:line="240" w:lineRule="auto"/>
        <w:ind w:left="720" w:hanging="720"/>
        <w:jc w:val="left"/>
        <w:rPr>
          <w:rFonts w:ascii="Times New Roman" w:hAnsi="Times New Roman" w:cs="Times New Roman"/>
          <w:b/>
          <w:i/>
          <w:sz w:val="24"/>
          <w:szCs w:val="24"/>
        </w:rPr>
      </w:pPr>
      <w:proofErr w:type="gramStart"/>
      <w:r w:rsidRPr="0026001F">
        <w:rPr>
          <w:rFonts w:ascii="Times New Roman" w:hAnsi="Times New Roman" w:cs="Times New Roman"/>
          <w:b/>
          <w:i/>
          <w:sz w:val="24"/>
          <w:szCs w:val="24"/>
          <w:u w:val="single"/>
        </w:rPr>
        <w:t>Bank &amp; 5 Ors SCCA NO.</w:t>
      </w:r>
      <w:proofErr w:type="gramEnd"/>
      <w:r w:rsidRPr="0026001F">
        <w:rPr>
          <w:rFonts w:ascii="Times New Roman" w:hAnsi="Times New Roman" w:cs="Times New Roman"/>
          <w:b/>
          <w:i/>
          <w:sz w:val="24"/>
          <w:szCs w:val="24"/>
          <w:u w:val="single"/>
        </w:rPr>
        <w:t xml:space="preserve"> 04 </w:t>
      </w:r>
      <w:r w:rsidR="00E95FB0" w:rsidRPr="0026001F">
        <w:rPr>
          <w:rFonts w:ascii="Times New Roman" w:hAnsi="Times New Roman" w:cs="Times New Roman"/>
          <w:b/>
          <w:i/>
          <w:sz w:val="24"/>
          <w:szCs w:val="24"/>
          <w:u w:val="single"/>
        </w:rPr>
        <w:t>of 2006</w:t>
      </w:r>
      <w:r w:rsidRPr="0026001F">
        <w:rPr>
          <w:rFonts w:ascii="Times New Roman" w:hAnsi="Times New Roman" w:cs="Times New Roman"/>
          <w:b/>
          <w:i/>
          <w:sz w:val="24"/>
          <w:szCs w:val="24"/>
          <w:u w:val="single"/>
        </w:rPr>
        <w:t xml:space="preserve"> page 28 </w:t>
      </w:r>
      <w:r w:rsidRPr="0026001F">
        <w:rPr>
          <w:rFonts w:ascii="Times New Roman" w:hAnsi="Times New Roman" w:cs="Times New Roman"/>
          <w:b/>
          <w:i/>
          <w:sz w:val="24"/>
          <w:szCs w:val="24"/>
        </w:rPr>
        <w:t>(</w:t>
      </w:r>
      <w:r w:rsidRPr="0026001F">
        <w:rPr>
          <w:rFonts w:ascii="Times New Roman" w:hAnsi="Times New Roman" w:cs="Times New Roman"/>
          <w:i/>
          <w:sz w:val="24"/>
          <w:szCs w:val="24"/>
        </w:rPr>
        <w:t>lead judgment)</w:t>
      </w:r>
      <w:r w:rsidRPr="0026001F">
        <w:rPr>
          <w:rFonts w:ascii="Times New Roman" w:hAnsi="Times New Roman" w:cs="Times New Roman"/>
          <w:b/>
          <w:i/>
          <w:sz w:val="24"/>
          <w:szCs w:val="24"/>
        </w:rPr>
        <w:t xml:space="preserve"> </w:t>
      </w:r>
      <w:r w:rsidRPr="0026001F">
        <w:rPr>
          <w:rFonts w:ascii="Times New Roman" w:hAnsi="Times New Roman" w:cs="Times New Roman"/>
          <w:i/>
          <w:sz w:val="24"/>
          <w:szCs w:val="24"/>
        </w:rPr>
        <w:t>as;</w:t>
      </w:r>
      <w:r w:rsidRPr="0026001F">
        <w:rPr>
          <w:rFonts w:ascii="Times New Roman" w:hAnsi="Times New Roman" w:cs="Times New Roman"/>
          <w:b/>
          <w:i/>
          <w:sz w:val="24"/>
          <w:szCs w:val="24"/>
        </w:rPr>
        <w:t xml:space="preserve"> </w:t>
      </w:r>
    </w:p>
    <w:p w:rsidR="007E4F20" w:rsidRPr="0026001F" w:rsidRDefault="007E4F20" w:rsidP="0094262F">
      <w:pPr>
        <w:ind w:left="720"/>
        <w:rPr>
          <w:rFonts w:ascii="Times New Roman" w:hAnsi="Times New Roman" w:cs="Times New Roman"/>
          <w:sz w:val="24"/>
          <w:szCs w:val="24"/>
        </w:rPr>
      </w:pPr>
      <w:r w:rsidRPr="0026001F">
        <w:rPr>
          <w:rFonts w:ascii="Times New Roman" w:hAnsi="Times New Roman" w:cs="Times New Roman"/>
          <w:i/>
          <w:sz w:val="24"/>
          <w:szCs w:val="24"/>
        </w:rPr>
        <w:t>‘……. A generic term embracing all multifarious mea</w:t>
      </w:r>
      <w:r w:rsidR="003C1474" w:rsidRPr="0026001F">
        <w:rPr>
          <w:rFonts w:ascii="Times New Roman" w:hAnsi="Times New Roman" w:cs="Times New Roman"/>
          <w:i/>
          <w:sz w:val="24"/>
          <w:szCs w:val="24"/>
        </w:rPr>
        <w:t xml:space="preserve">ns which a human ingenuity can </w:t>
      </w:r>
      <w:r w:rsidRPr="0026001F">
        <w:rPr>
          <w:rFonts w:ascii="Times New Roman" w:hAnsi="Times New Roman" w:cs="Times New Roman"/>
          <w:i/>
          <w:sz w:val="24"/>
          <w:szCs w:val="24"/>
        </w:rPr>
        <w:t>d</w:t>
      </w:r>
      <w:r w:rsidR="003C1474" w:rsidRPr="0026001F">
        <w:rPr>
          <w:rFonts w:ascii="Times New Roman" w:hAnsi="Times New Roman" w:cs="Times New Roman"/>
          <w:i/>
          <w:sz w:val="24"/>
          <w:szCs w:val="24"/>
        </w:rPr>
        <w:t>e</w:t>
      </w:r>
      <w:r w:rsidRPr="0026001F">
        <w:rPr>
          <w:rFonts w:ascii="Times New Roman" w:hAnsi="Times New Roman" w:cs="Times New Roman"/>
          <w:i/>
          <w:sz w:val="24"/>
          <w:szCs w:val="24"/>
        </w:rPr>
        <w:t>vise and which are resorted to by one individual to get advantage over another by false suggestion or by suppression of truth and includes all surprise, trick, cunning dissembling and any unfair way by which another is cheated…’</w:t>
      </w:r>
    </w:p>
    <w:p w:rsidR="006644C4" w:rsidRPr="0026001F" w:rsidRDefault="006644C4" w:rsidP="006644C4">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From the said definition, I note that the Plaintiff has shown by evidence that the Defendant acted by trick</w:t>
      </w:r>
      <w:r w:rsidR="003C1474" w:rsidRPr="0026001F">
        <w:rPr>
          <w:rFonts w:ascii="Times New Roman" w:hAnsi="Times New Roman" w:cs="Times New Roman"/>
          <w:sz w:val="24"/>
          <w:szCs w:val="24"/>
        </w:rPr>
        <w:t>ery</w:t>
      </w:r>
      <w:r w:rsidRPr="0026001F">
        <w:rPr>
          <w:rFonts w:ascii="Times New Roman" w:hAnsi="Times New Roman" w:cs="Times New Roman"/>
          <w:sz w:val="24"/>
          <w:szCs w:val="24"/>
        </w:rPr>
        <w:t xml:space="preserve"> in obtaining a title behind the Plaintiff’s back on land for which he lives and expressed interest by buying out his kibanja, so as to obtain a registered interest.  </w:t>
      </w:r>
      <w:proofErr w:type="gramStart"/>
      <w:r w:rsidRPr="0026001F">
        <w:rPr>
          <w:rFonts w:ascii="Times New Roman" w:hAnsi="Times New Roman" w:cs="Times New Roman"/>
          <w:i/>
          <w:sz w:val="24"/>
          <w:szCs w:val="24"/>
        </w:rPr>
        <w:t>(</w:t>
      </w:r>
      <w:r w:rsidR="00A30CD0" w:rsidRPr="0026001F">
        <w:rPr>
          <w:rFonts w:ascii="Times New Roman" w:hAnsi="Times New Roman" w:cs="Times New Roman"/>
          <w:i/>
          <w:sz w:val="24"/>
          <w:szCs w:val="24"/>
        </w:rPr>
        <w:t>See</w:t>
      </w:r>
      <w:r w:rsidRPr="0026001F">
        <w:rPr>
          <w:rFonts w:ascii="Times New Roman" w:hAnsi="Times New Roman" w:cs="Times New Roman"/>
          <w:i/>
          <w:sz w:val="24"/>
          <w:szCs w:val="24"/>
        </w:rPr>
        <w:t xml:space="preserve"> PW1’s evidence in chief and PE1, PE2 and PE3)</w:t>
      </w:r>
      <w:r w:rsidRPr="0026001F">
        <w:rPr>
          <w:rFonts w:ascii="Times New Roman" w:hAnsi="Times New Roman" w:cs="Times New Roman"/>
          <w:sz w:val="24"/>
          <w:szCs w:val="24"/>
        </w:rPr>
        <w:t>.</w:t>
      </w:r>
      <w:proofErr w:type="gramEnd"/>
    </w:p>
    <w:p w:rsidR="006644C4" w:rsidRPr="0026001F" w:rsidRDefault="006644C4" w:rsidP="006644C4">
      <w:pPr>
        <w:spacing w:after="160" w:line="360" w:lineRule="auto"/>
        <w:rPr>
          <w:rFonts w:ascii="Times New Roman" w:hAnsi="Times New Roman" w:cs="Times New Roman"/>
          <w:sz w:val="24"/>
          <w:szCs w:val="24"/>
        </w:rPr>
      </w:pPr>
    </w:p>
    <w:p w:rsidR="006644C4" w:rsidRPr="0026001F" w:rsidRDefault="006644C4" w:rsidP="006644C4">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 xml:space="preserve">I am satisfied </w:t>
      </w:r>
      <w:r w:rsidR="00F42411" w:rsidRPr="0026001F">
        <w:rPr>
          <w:rFonts w:ascii="Times New Roman" w:hAnsi="Times New Roman" w:cs="Times New Roman"/>
          <w:sz w:val="24"/>
          <w:szCs w:val="24"/>
        </w:rPr>
        <w:t xml:space="preserve">that </w:t>
      </w:r>
      <w:r w:rsidRPr="0026001F">
        <w:rPr>
          <w:rFonts w:ascii="Times New Roman" w:hAnsi="Times New Roman" w:cs="Times New Roman"/>
          <w:sz w:val="24"/>
          <w:szCs w:val="24"/>
        </w:rPr>
        <w:t xml:space="preserve">as argued by Counsel for the Plaintiff in submissions that the evidential burden of proof for fraud has been </w:t>
      </w:r>
      <w:r w:rsidR="00A30CD0" w:rsidRPr="0026001F">
        <w:rPr>
          <w:rFonts w:ascii="Times New Roman" w:hAnsi="Times New Roman" w:cs="Times New Roman"/>
          <w:sz w:val="24"/>
          <w:szCs w:val="24"/>
        </w:rPr>
        <w:t>satisfied</w:t>
      </w:r>
      <w:r w:rsidRPr="0026001F">
        <w:rPr>
          <w:rFonts w:ascii="Times New Roman" w:hAnsi="Times New Roman" w:cs="Times New Roman"/>
          <w:sz w:val="24"/>
          <w:szCs w:val="24"/>
        </w:rPr>
        <w:t>.</w:t>
      </w:r>
    </w:p>
    <w:p w:rsidR="005B508B" w:rsidRPr="0026001F" w:rsidRDefault="005B508B" w:rsidP="006644C4">
      <w:pPr>
        <w:spacing w:after="160" w:line="360" w:lineRule="auto"/>
        <w:rPr>
          <w:rFonts w:ascii="Times New Roman" w:hAnsi="Times New Roman" w:cs="Times New Roman"/>
          <w:sz w:val="24"/>
          <w:szCs w:val="24"/>
        </w:rPr>
      </w:pPr>
    </w:p>
    <w:p w:rsidR="00DA0E04" w:rsidRPr="0026001F" w:rsidRDefault="006644C4" w:rsidP="006644C4">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 xml:space="preserve">I also agree </w:t>
      </w:r>
      <w:r w:rsidR="00A30CD0" w:rsidRPr="0026001F">
        <w:rPr>
          <w:rFonts w:ascii="Times New Roman" w:hAnsi="Times New Roman" w:cs="Times New Roman"/>
          <w:sz w:val="24"/>
          <w:szCs w:val="24"/>
        </w:rPr>
        <w:t>that the</w:t>
      </w:r>
      <w:r w:rsidRPr="0026001F">
        <w:rPr>
          <w:rFonts w:ascii="Times New Roman" w:hAnsi="Times New Roman" w:cs="Times New Roman"/>
          <w:sz w:val="24"/>
          <w:szCs w:val="24"/>
        </w:rPr>
        <w:t xml:space="preserve"> failure to file a defence raises a presumption of constructive admission to the claim made in the plaint and the story as told by the Plaintiff </w:t>
      </w:r>
      <w:r w:rsidR="00DA1551" w:rsidRPr="0026001F">
        <w:rPr>
          <w:rFonts w:ascii="Times New Roman" w:hAnsi="Times New Roman" w:cs="Times New Roman"/>
          <w:i/>
          <w:sz w:val="24"/>
          <w:szCs w:val="24"/>
        </w:rPr>
        <w:t>(</w:t>
      </w:r>
      <w:r w:rsidRPr="0026001F">
        <w:rPr>
          <w:rFonts w:ascii="Times New Roman" w:hAnsi="Times New Roman" w:cs="Times New Roman"/>
          <w:i/>
          <w:sz w:val="24"/>
          <w:szCs w:val="24"/>
        </w:rPr>
        <w:t xml:space="preserve">per holding in </w:t>
      </w:r>
      <w:r w:rsidRPr="0026001F">
        <w:rPr>
          <w:rFonts w:ascii="Times New Roman" w:hAnsi="Times New Roman" w:cs="Times New Roman"/>
          <w:b/>
          <w:i/>
          <w:sz w:val="24"/>
          <w:szCs w:val="24"/>
          <w:u w:val="single"/>
        </w:rPr>
        <w:t xml:space="preserve">Agadi </w:t>
      </w:r>
      <w:r w:rsidR="00DA0E04" w:rsidRPr="0026001F">
        <w:rPr>
          <w:rFonts w:ascii="Times New Roman" w:hAnsi="Times New Roman" w:cs="Times New Roman"/>
          <w:b/>
          <w:i/>
          <w:sz w:val="24"/>
          <w:szCs w:val="24"/>
          <w:u w:val="single"/>
        </w:rPr>
        <w:t>D</w:t>
      </w:r>
      <w:r w:rsidRPr="0026001F">
        <w:rPr>
          <w:rFonts w:ascii="Times New Roman" w:hAnsi="Times New Roman" w:cs="Times New Roman"/>
          <w:b/>
          <w:i/>
          <w:sz w:val="24"/>
          <w:szCs w:val="24"/>
          <w:u w:val="single"/>
        </w:rPr>
        <w:t>idi versus James Namakaso; HCCS NO. 1230 of 1988</w:t>
      </w:r>
      <w:r w:rsidRPr="0026001F">
        <w:rPr>
          <w:rFonts w:ascii="Times New Roman" w:hAnsi="Times New Roman" w:cs="Times New Roman"/>
          <w:sz w:val="24"/>
          <w:szCs w:val="24"/>
        </w:rPr>
        <w:t xml:space="preserve">) cited </w:t>
      </w:r>
      <w:r w:rsidR="00A30CD0" w:rsidRPr="0026001F">
        <w:rPr>
          <w:rFonts w:ascii="Times New Roman" w:hAnsi="Times New Roman" w:cs="Times New Roman"/>
          <w:sz w:val="24"/>
          <w:szCs w:val="24"/>
        </w:rPr>
        <w:t xml:space="preserve">in </w:t>
      </w:r>
      <w:r w:rsidR="00A30CD0" w:rsidRPr="0026001F">
        <w:rPr>
          <w:rFonts w:ascii="Times New Roman" w:hAnsi="Times New Roman" w:cs="Times New Roman"/>
          <w:b/>
          <w:i/>
          <w:sz w:val="24"/>
          <w:szCs w:val="24"/>
        </w:rPr>
        <w:t>Sylvan</w:t>
      </w:r>
      <w:r w:rsidRPr="0026001F">
        <w:rPr>
          <w:rFonts w:ascii="Times New Roman" w:hAnsi="Times New Roman" w:cs="Times New Roman"/>
          <w:b/>
          <w:i/>
          <w:sz w:val="24"/>
          <w:szCs w:val="24"/>
          <w:u w:val="single"/>
        </w:rPr>
        <w:t xml:space="preserve"> Kakugu Tumwesigye versus Trans Sahara International General</w:t>
      </w:r>
      <w:r w:rsidR="00DA0E04" w:rsidRPr="0026001F">
        <w:rPr>
          <w:rFonts w:ascii="Times New Roman" w:hAnsi="Times New Roman" w:cs="Times New Roman"/>
          <w:b/>
          <w:i/>
          <w:sz w:val="24"/>
          <w:szCs w:val="24"/>
          <w:u w:val="single"/>
        </w:rPr>
        <w:t xml:space="preserve"> TR DG LLC HCCS NO. </w:t>
      </w:r>
      <w:proofErr w:type="gramStart"/>
      <w:r w:rsidR="00DA0E04" w:rsidRPr="0026001F">
        <w:rPr>
          <w:rFonts w:ascii="Times New Roman" w:hAnsi="Times New Roman" w:cs="Times New Roman"/>
          <w:b/>
          <w:i/>
          <w:sz w:val="24"/>
          <w:szCs w:val="24"/>
          <w:u w:val="single"/>
        </w:rPr>
        <w:t>95/2005</w:t>
      </w:r>
      <w:r w:rsidR="00DA1551" w:rsidRPr="0026001F">
        <w:rPr>
          <w:rFonts w:ascii="Times New Roman" w:hAnsi="Times New Roman" w:cs="Times New Roman"/>
          <w:sz w:val="24"/>
          <w:szCs w:val="24"/>
        </w:rPr>
        <w:t>).</w:t>
      </w:r>
      <w:proofErr w:type="gramEnd"/>
    </w:p>
    <w:p w:rsidR="00DA0E04" w:rsidRPr="0026001F" w:rsidRDefault="00DA0E04" w:rsidP="006644C4">
      <w:pPr>
        <w:spacing w:after="160" w:line="360" w:lineRule="auto"/>
        <w:rPr>
          <w:rFonts w:ascii="Times New Roman" w:hAnsi="Times New Roman" w:cs="Times New Roman"/>
          <w:b/>
          <w:sz w:val="24"/>
          <w:szCs w:val="24"/>
          <w:u w:val="single"/>
        </w:rPr>
      </w:pPr>
    </w:p>
    <w:p w:rsidR="00DA0E04" w:rsidRPr="0026001F" w:rsidRDefault="00DA0E04" w:rsidP="006644C4">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I am satisfied that th</w:t>
      </w:r>
      <w:r w:rsidR="00DA1551" w:rsidRPr="0026001F">
        <w:rPr>
          <w:rFonts w:ascii="Times New Roman" w:hAnsi="Times New Roman" w:cs="Times New Roman"/>
          <w:sz w:val="24"/>
          <w:szCs w:val="24"/>
        </w:rPr>
        <w:t>is</w:t>
      </w:r>
      <w:r w:rsidRPr="0026001F">
        <w:rPr>
          <w:rFonts w:ascii="Times New Roman" w:hAnsi="Times New Roman" w:cs="Times New Roman"/>
          <w:sz w:val="24"/>
          <w:szCs w:val="24"/>
        </w:rPr>
        <w:t xml:space="preserve"> issue terminates in the positive.</w:t>
      </w:r>
    </w:p>
    <w:p w:rsidR="00DA0E04" w:rsidRPr="0026001F" w:rsidRDefault="00DA0E04" w:rsidP="006644C4">
      <w:pPr>
        <w:spacing w:after="160" w:line="360" w:lineRule="auto"/>
        <w:rPr>
          <w:rFonts w:ascii="Times New Roman" w:hAnsi="Times New Roman" w:cs="Times New Roman"/>
          <w:b/>
          <w:sz w:val="24"/>
          <w:szCs w:val="24"/>
          <w:u w:val="single"/>
        </w:rPr>
      </w:pPr>
    </w:p>
    <w:p w:rsidR="00694210" w:rsidRPr="0026001F" w:rsidRDefault="00DA0E04" w:rsidP="00D72DB5">
      <w:pPr>
        <w:spacing w:after="160" w:line="360" w:lineRule="auto"/>
        <w:rPr>
          <w:rFonts w:ascii="Times New Roman" w:hAnsi="Times New Roman" w:cs="Times New Roman"/>
          <w:sz w:val="24"/>
          <w:szCs w:val="24"/>
        </w:rPr>
      </w:pPr>
      <w:r w:rsidRPr="0026001F">
        <w:rPr>
          <w:rFonts w:ascii="Times New Roman" w:hAnsi="Times New Roman" w:cs="Times New Roman"/>
          <w:sz w:val="24"/>
          <w:szCs w:val="24"/>
          <w:u w:val="single"/>
        </w:rPr>
        <w:t>Issue 3</w:t>
      </w:r>
      <w:r w:rsidR="00D72DB5" w:rsidRPr="0026001F">
        <w:rPr>
          <w:rFonts w:ascii="Times New Roman" w:hAnsi="Times New Roman" w:cs="Times New Roman"/>
          <w:sz w:val="24"/>
          <w:szCs w:val="24"/>
        </w:rPr>
        <w:t xml:space="preserve">: </w:t>
      </w:r>
      <w:r w:rsidR="00694210" w:rsidRPr="0026001F">
        <w:rPr>
          <w:rFonts w:ascii="Times New Roman" w:hAnsi="Times New Roman" w:cs="Times New Roman"/>
          <w:sz w:val="24"/>
          <w:szCs w:val="24"/>
          <w:u w:val="single"/>
        </w:rPr>
        <w:t>R</w:t>
      </w:r>
      <w:r w:rsidRPr="0026001F">
        <w:rPr>
          <w:rFonts w:ascii="Times New Roman" w:hAnsi="Times New Roman" w:cs="Times New Roman"/>
          <w:sz w:val="24"/>
          <w:szCs w:val="24"/>
          <w:u w:val="single"/>
        </w:rPr>
        <w:t>emedies</w:t>
      </w:r>
      <w:r w:rsidR="00D72DB5" w:rsidRPr="0026001F">
        <w:rPr>
          <w:rFonts w:ascii="Times New Roman" w:hAnsi="Times New Roman" w:cs="Times New Roman"/>
          <w:sz w:val="24"/>
          <w:szCs w:val="24"/>
        </w:rPr>
        <w:t>:</w:t>
      </w:r>
    </w:p>
    <w:p w:rsidR="00694210" w:rsidRPr="0026001F" w:rsidRDefault="00694210" w:rsidP="00694210">
      <w:pPr>
        <w:pStyle w:val="ListParagraph"/>
        <w:numPr>
          <w:ilvl w:val="0"/>
          <w:numId w:val="5"/>
        </w:numPr>
        <w:spacing w:line="360" w:lineRule="auto"/>
        <w:rPr>
          <w:rFonts w:ascii="Times New Roman" w:hAnsi="Times New Roman" w:cs="Times New Roman"/>
          <w:sz w:val="24"/>
          <w:szCs w:val="24"/>
        </w:rPr>
      </w:pPr>
      <w:r w:rsidRPr="0026001F">
        <w:rPr>
          <w:rFonts w:ascii="Times New Roman" w:hAnsi="Times New Roman" w:cs="Times New Roman"/>
          <w:sz w:val="24"/>
          <w:szCs w:val="24"/>
        </w:rPr>
        <w:t>Cancellation</w:t>
      </w:r>
      <w:r w:rsidR="00FB6E5A" w:rsidRPr="0026001F">
        <w:rPr>
          <w:rFonts w:ascii="Times New Roman" w:hAnsi="Times New Roman" w:cs="Times New Roman"/>
          <w:sz w:val="24"/>
          <w:szCs w:val="24"/>
        </w:rPr>
        <w:t xml:space="preserve"> of</w:t>
      </w:r>
      <w:r w:rsidRPr="0026001F">
        <w:rPr>
          <w:rFonts w:ascii="Times New Roman" w:hAnsi="Times New Roman" w:cs="Times New Roman"/>
          <w:sz w:val="24"/>
          <w:szCs w:val="24"/>
        </w:rPr>
        <w:t xml:space="preserve"> title</w:t>
      </w:r>
    </w:p>
    <w:p w:rsidR="00694210" w:rsidRPr="0026001F" w:rsidRDefault="00694210" w:rsidP="00694210">
      <w:pPr>
        <w:spacing w:line="360" w:lineRule="auto"/>
        <w:ind w:left="360"/>
        <w:rPr>
          <w:rFonts w:ascii="Times New Roman" w:hAnsi="Times New Roman" w:cs="Times New Roman"/>
          <w:sz w:val="24"/>
          <w:szCs w:val="24"/>
        </w:rPr>
      </w:pPr>
      <w:r w:rsidRPr="0026001F">
        <w:rPr>
          <w:rFonts w:ascii="Times New Roman" w:hAnsi="Times New Roman" w:cs="Times New Roman"/>
          <w:b/>
          <w:sz w:val="24"/>
          <w:szCs w:val="24"/>
        </w:rPr>
        <w:t xml:space="preserve">Section 177 Registration of </w:t>
      </w:r>
      <w:r w:rsidR="00774CB1" w:rsidRPr="0026001F">
        <w:rPr>
          <w:rFonts w:ascii="Times New Roman" w:hAnsi="Times New Roman" w:cs="Times New Roman"/>
          <w:b/>
          <w:sz w:val="24"/>
          <w:szCs w:val="24"/>
        </w:rPr>
        <w:t>T</w:t>
      </w:r>
      <w:r w:rsidRPr="0026001F">
        <w:rPr>
          <w:rFonts w:ascii="Times New Roman" w:hAnsi="Times New Roman" w:cs="Times New Roman"/>
          <w:b/>
          <w:sz w:val="24"/>
          <w:szCs w:val="24"/>
        </w:rPr>
        <w:t>itles Act</w:t>
      </w:r>
      <w:r w:rsidRPr="0026001F">
        <w:rPr>
          <w:rFonts w:ascii="Times New Roman" w:hAnsi="Times New Roman" w:cs="Times New Roman"/>
          <w:sz w:val="24"/>
          <w:szCs w:val="24"/>
        </w:rPr>
        <w:t xml:space="preserve"> provides that;</w:t>
      </w:r>
    </w:p>
    <w:p w:rsidR="00694210" w:rsidRPr="0026001F" w:rsidRDefault="00694210" w:rsidP="00171E3D">
      <w:pPr>
        <w:spacing w:line="360" w:lineRule="auto"/>
        <w:ind w:left="720"/>
        <w:rPr>
          <w:rFonts w:ascii="Times New Roman" w:hAnsi="Times New Roman" w:cs="Times New Roman"/>
          <w:i/>
          <w:sz w:val="24"/>
          <w:szCs w:val="24"/>
        </w:rPr>
      </w:pPr>
      <w:r w:rsidRPr="0026001F">
        <w:rPr>
          <w:rFonts w:ascii="Times New Roman" w:hAnsi="Times New Roman" w:cs="Times New Roman"/>
          <w:sz w:val="24"/>
          <w:szCs w:val="24"/>
        </w:rPr>
        <w:t>‘</w:t>
      </w:r>
      <w:r w:rsidR="00E95FB0" w:rsidRPr="0026001F">
        <w:rPr>
          <w:rFonts w:ascii="Times New Roman" w:hAnsi="Times New Roman" w:cs="Times New Roman"/>
          <w:i/>
          <w:sz w:val="24"/>
          <w:szCs w:val="24"/>
        </w:rPr>
        <w:t>Upon</w:t>
      </w:r>
      <w:r w:rsidRPr="0026001F">
        <w:rPr>
          <w:rFonts w:ascii="Times New Roman" w:hAnsi="Times New Roman" w:cs="Times New Roman"/>
          <w:i/>
          <w:sz w:val="24"/>
          <w:szCs w:val="24"/>
        </w:rPr>
        <w:t xml:space="preserve"> recovery, if any </w:t>
      </w:r>
      <w:r w:rsidR="00CC18BA" w:rsidRPr="0026001F">
        <w:rPr>
          <w:rFonts w:ascii="Times New Roman" w:hAnsi="Times New Roman" w:cs="Times New Roman"/>
          <w:i/>
          <w:sz w:val="24"/>
          <w:szCs w:val="24"/>
        </w:rPr>
        <w:t xml:space="preserve">land, estate or interest by any </w:t>
      </w:r>
      <w:r w:rsidRPr="0026001F">
        <w:rPr>
          <w:rFonts w:ascii="Times New Roman" w:hAnsi="Times New Roman" w:cs="Times New Roman"/>
          <w:i/>
          <w:sz w:val="24"/>
          <w:szCs w:val="24"/>
        </w:rPr>
        <w:t xml:space="preserve">proceedings from the person registered as proprietor thereof, the High </w:t>
      </w:r>
      <w:r w:rsidR="00171E3D" w:rsidRPr="0026001F">
        <w:rPr>
          <w:rFonts w:ascii="Times New Roman" w:hAnsi="Times New Roman" w:cs="Times New Roman"/>
          <w:i/>
          <w:sz w:val="24"/>
          <w:szCs w:val="24"/>
        </w:rPr>
        <w:t>C</w:t>
      </w:r>
      <w:r w:rsidRPr="0026001F">
        <w:rPr>
          <w:rFonts w:ascii="Times New Roman" w:hAnsi="Times New Roman" w:cs="Times New Roman"/>
          <w:i/>
          <w:sz w:val="24"/>
          <w:szCs w:val="24"/>
        </w:rPr>
        <w:t>ourt may in any case, in which the proceedings is not herein expressed barred direct the Registrar to cancel any certificate or instrument…’</w:t>
      </w:r>
    </w:p>
    <w:p w:rsidR="000D4C1C" w:rsidRPr="0026001F" w:rsidRDefault="008035A9"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lastRenderedPageBreak/>
        <w:t>There has been proof that the Defendant</w:t>
      </w:r>
      <w:r w:rsidR="00E26287" w:rsidRPr="0026001F">
        <w:rPr>
          <w:rFonts w:ascii="Times New Roman" w:hAnsi="Times New Roman" w:cs="Times New Roman"/>
          <w:sz w:val="24"/>
          <w:szCs w:val="24"/>
        </w:rPr>
        <w:t>s</w:t>
      </w:r>
      <w:r w:rsidRPr="0026001F">
        <w:rPr>
          <w:rFonts w:ascii="Times New Roman" w:hAnsi="Times New Roman" w:cs="Times New Roman"/>
          <w:sz w:val="24"/>
          <w:szCs w:val="24"/>
        </w:rPr>
        <w:t xml:space="preserve"> obtained registration by fraud.  The said certificate cannot therefore be allowed to stand.  The same is therefore </w:t>
      </w:r>
      <w:r w:rsidRPr="0026001F">
        <w:rPr>
          <w:rFonts w:ascii="Times New Roman" w:hAnsi="Times New Roman" w:cs="Times New Roman"/>
          <w:i/>
          <w:sz w:val="24"/>
          <w:szCs w:val="24"/>
        </w:rPr>
        <w:t xml:space="preserve">null </w:t>
      </w:r>
      <w:r w:rsidRPr="0026001F">
        <w:rPr>
          <w:rFonts w:ascii="Times New Roman" w:hAnsi="Times New Roman" w:cs="Times New Roman"/>
          <w:sz w:val="24"/>
          <w:szCs w:val="24"/>
        </w:rPr>
        <w:t xml:space="preserve">and </w:t>
      </w:r>
      <w:r w:rsidRPr="0026001F">
        <w:rPr>
          <w:rFonts w:ascii="Times New Roman" w:hAnsi="Times New Roman" w:cs="Times New Roman"/>
          <w:i/>
          <w:sz w:val="24"/>
          <w:szCs w:val="24"/>
        </w:rPr>
        <w:t>void</w:t>
      </w:r>
      <w:r w:rsidRPr="0026001F">
        <w:rPr>
          <w:rFonts w:ascii="Times New Roman" w:hAnsi="Times New Roman" w:cs="Times New Roman"/>
          <w:sz w:val="24"/>
          <w:szCs w:val="24"/>
        </w:rPr>
        <w:t xml:space="preserve"> and is hereby ordered to be cancelled by the Registrar of Titles as per the law above.</w:t>
      </w:r>
    </w:p>
    <w:p w:rsidR="000D4C1C" w:rsidRPr="0026001F" w:rsidRDefault="000D4C1C" w:rsidP="008035A9">
      <w:pPr>
        <w:spacing w:after="160" w:line="360" w:lineRule="auto"/>
        <w:rPr>
          <w:rFonts w:ascii="Times New Roman" w:hAnsi="Times New Roman" w:cs="Times New Roman"/>
          <w:sz w:val="24"/>
          <w:szCs w:val="24"/>
        </w:rPr>
      </w:pP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b)</w:t>
      </w:r>
      <w:r w:rsidRPr="0026001F">
        <w:rPr>
          <w:rFonts w:ascii="Times New Roman" w:hAnsi="Times New Roman" w:cs="Times New Roman"/>
          <w:sz w:val="24"/>
          <w:szCs w:val="24"/>
        </w:rPr>
        <w:tab/>
      </w:r>
      <w:r w:rsidRPr="0026001F">
        <w:rPr>
          <w:rFonts w:ascii="Times New Roman" w:hAnsi="Times New Roman" w:cs="Times New Roman"/>
          <w:sz w:val="24"/>
          <w:szCs w:val="24"/>
          <w:u w:val="single"/>
        </w:rPr>
        <w:t>General Damages</w:t>
      </w:r>
    </w:p>
    <w:p w:rsidR="000D4C1C" w:rsidRPr="0026001F" w:rsidRDefault="00C80050"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General damages are i</w:t>
      </w:r>
      <w:r w:rsidR="000D4C1C" w:rsidRPr="0026001F">
        <w:rPr>
          <w:rFonts w:ascii="Times New Roman" w:hAnsi="Times New Roman" w:cs="Times New Roman"/>
          <w:sz w:val="24"/>
          <w:szCs w:val="24"/>
        </w:rPr>
        <w:t xml:space="preserve">n the discretion of Court.  In </w:t>
      </w:r>
      <w:r w:rsidR="000D4C1C" w:rsidRPr="0026001F">
        <w:rPr>
          <w:rFonts w:ascii="Times New Roman" w:hAnsi="Times New Roman" w:cs="Times New Roman"/>
          <w:b/>
          <w:i/>
          <w:sz w:val="24"/>
          <w:szCs w:val="24"/>
          <w:u w:val="single"/>
        </w:rPr>
        <w:t>Uganda Commercial Bank versus Kigozi (2002) 1 EA 305</w:t>
      </w:r>
      <w:r w:rsidR="000D4C1C" w:rsidRPr="0026001F">
        <w:rPr>
          <w:rFonts w:ascii="Times New Roman" w:hAnsi="Times New Roman" w:cs="Times New Roman"/>
          <w:sz w:val="24"/>
          <w:szCs w:val="24"/>
        </w:rPr>
        <w:t>;</w:t>
      </w: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Court gave guidance that the consideration for an award of general damages should be mainly the value of the subject matter, the economic inconvenience that a party may have been put through and nature and extent of the breach or injury suffered.</w:t>
      </w:r>
    </w:p>
    <w:p w:rsidR="000D4C1C" w:rsidRPr="0026001F" w:rsidRDefault="000D4C1C" w:rsidP="008035A9">
      <w:pPr>
        <w:spacing w:after="160" w:line="360" w:lineRule="auto"/>
        <w:rPr>
          <w:rFonts w:ascii="Times New Roman" w:hAnsi="Times New Roman" w:cs="Times New Roman"/>
          <w:sz w:val="24"/>
          <w:szCs w:val="24"/>
        </w:rPr>
      </w:pP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 xml:space="preserve">The Plaintiff has shown that he bought the land, but has been denied </w:t>
      </w:r>
      <w:r w:rsidR="00E95FB0" w:rsidRPr="0026001F">
        <w:rPr>
          <w:rFonts w:ascii="Times New Roman" w:hAnsi="Times New Roman" w:cs="Times New Roman"/>
          <w:sz w:val="24"/>
          <w:szCs w:val="24"/>
        </w:rPr>
        <w:t>its</w:t>
      </w:r>
      <w:r w:rsidRPr="0026001F">
        <w:rPr>
          <w:rFonts w:ascii="Times New Roman" w:hAnsi="Times New Roman" w:cs="Times New Roman"/>
          <w:sz w:val="24"/>
          <w:szCs w:val="24"/>
        </w:rPr>
        <w:t xml:space="preserve"> transfer by the Defendants.  The Plaintiff suffered pain.  However, since he is in occupation and still utilising the land, </w:t>
      </w:r>
      <w:r w:rsidR="0019392E" w:rsidRPr="0026001F">
        <w:rPr>
          <w:rFonts w:ascii="Times New Roman" w:hAnsi="Times New Roman" w:cs="Times New Roman"/>
          <w:sz w:val="24"/>
          <w:szCs w:val="24"/>
        </w:rPr>
        <w:t>he has suffered</w:t>
      </w:r>
      <w:r w:rsidRPr="0026001F">
        <w:rPr>
          <w:rFonts w:ascii="Times New Roman" w:hAnsi="Times New Roman" w:cs="Times New Roman"/>
          <w:sz w:val="24"/>
          <w:szCs w:val="24"/>
        </w:rPr>
        <w:t xml:space="preserve"> so much economic hardship</w:t>
      </w:r>
      <w:r w:rsidR="00F92D1D" w:rsidRPr="0026001F">
        <w:rPr>
          <w:rFonts w:ascii="Times New Roman" w:hAnsi="Times New Roman" w:cs="Times New Roman"/>
          <w:sz w:val="24"/>
          <w:szCs w:val="24"/>
        </w:rPr>
        <w:t>, going by the</w:t>
      </w:r>
      <w:r w:rsidRPr="0026001F">
        <w:rPr>
          <w:rFonts w:ascii="Times New Roman" w:hAnsi="Times New Roman" w:cs="Times New Roman"/>
          <w:sz w:val="24"/>
          <w:szCs w:val="24"/>
        </w:rPr>
        <w:t xml:space="preserve"> evidence.</w:t>
      </w:r>
    </w:p>
    <w:p w:rsidR="000D4C1C" w:rsidRPr="0026001F" w:rsidRDefault="000D4C1C" w:rsidP="008035A9">
      <w:pPr>
        <w:spacing w:after="160" w:line="360" w:lineRule="auto"/>
        <w:rPr>
          <w:rFonts w:ascii="Times New Roman" w:hAnsi="Times New Roman" w:cs="Times New Roman"/>
          <w:sz w:val="24"/>
          <w:szCs w:val="24"/>
        </w:rPr>
      </w:pP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 xml:space="preserve">Court will grant general damages of shs. </w:t>
      </w:r>
      <w:proofErr w:type="gramStart"/>
      <w:r w:rsidRPr="0026001F">
        <w:rPr>
          <w:rFonts w:ascii="Times New Roman" w:hAnsi="Times New Roman" w:cs="Times New Roman"/>
          <w:sz w:val="24"/>
          <w:szCs w:val="24"/>
        </w:rPr>
        <w:t xml:space="preserve">1,500,000/- </w:t>
      </w:r>
      <w:r w:rsidR="009A2DA8" w:rsidRPr="0026001F">
        <w:rPr>
          <w:rFonts w:ascii="Times New Roman" w:hAnsi="Times New Roman" w:cs="Times New Roman"/>
          <w:i/>
          <w:sz w:val="24"/>
          <w:szCs w:val="24"/>
        </w:rPr>
        <w:t xml:space="preserve">(one million, five hundred thousand only) </w:t>
      </w:r>
      <w:r w:rsidRPr="0026001F">
        <w:rPr>
          <w:rFonts w:ascii="Times New Roman" w:hAnsi="Times New Roman" w:cs="Times New Roman"/>
          <w:sz w:val="24"/>
          <w:szCs w:val="24"/>
        </w:rPr>
        <w:t>for pain and suffering.</w:t>
      </w:r>
      <w:proofErr w:type="gramEnd"/>
    </w:p>
    <w:p w:rsidR="000D4C1C" w:rsidRPr="0026001F" w:rsidRDefault="000D4C1C" w:rsidP="008035A9">
      <w:pPr>
        <w:spacing w:after="160" w:line="360" w:lineRule="auto"/>
        <w:rPr>
          <w:rFonts w:ascii="Times New Roman" w:hAnsi="Times New Roman" w:cs="Times New Roman"/>
          <w:sz w:val="24"/>
          <w:szCs w:val="24"/>
        </w:rPr>
      </w:pP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C)</w:t>
      </w:r>
      <w:r w:rsidRPr="0026001F">
        <w:rPr>
          <w:rFonts w:ascii="Times New Roman" w:hAnsi="Times New Roman" w:cs="Times New Roman"/>
          <w:sz w:val="24"/>
          <w:szCs w:val="24"/>
        </w:rPr>
        <w:tab/>
      </w:r>
      <w:r w:rsidRPr="0026001F">
        <w:rPr>
          <w:rFonts w:ascii="Times New Roman" w:hAnsi="Times New Roman" w:cs="Times New Roman"/>
          <w:sz w:val="24"/>
          <w:szCs w:val="24"/>
          <w:u w:val="single"/>
        </w:rPr>
        <w:t>Costs</w:t>
      </w: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Costs follow the event.</w:t>
      </w: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The Plaintiff is granted costs</w:t>
      </w:r>
    </w:p>
    <w:p w:rsidR="000D4C1C" w:rsidRPr="0026001F" w:rsidRDefault="000D4C1C" w:rsidP="008035A9">
      <w:pPr>
        <w:spacing w:after="160" w:line="360" w:lineRule="auto"/>
        <w:rPr>
          <w:rFonts w:ascii="Times New Roman" w:hAnsi="Times New Roman" w:cs="Times New Roman"/>
          <w:sz w:val="24"/>
          <w:szCs w:val="24"/>
        </w:rPr>
      </w:pPr>
      <w:r w:rsidRPr="0026001F">
        <w:rPr>
          <w:rFonts w:ascii="Times New Roman" w:hAnsi="Times New Roman" w:cs="Times New Roman"/>
          <w:sz w:val="24"/>
          <w:szCs w:val="24"/>
        </w:rPr>
        <w:t>The Plaintiff is given Judgment in the terms as above.</w:t>
      </w:r>
    </w:p>
    <w:p w:rsidR="000D4C1C" w:rsidRPr="0026001F" w:rsidRDefault="000D4C1C" w:rsidP="008035A9">
      <w:pPr>
        <w:spacing w:after="160" w:line="360" w:lineRule="auto"/>
        <w:rPr>
          <w:rFonts w:ascii="Times New Roman" w:hAnsi="Times New Roman" w:cs="Times New Roman"/>
          <w:sz w:val="24"/>
          <w:szCs w:val="24"/>
        </w:rPr>
      </w:pPr>
    </w:p>
    <w:p w:rsidR="004C1336" w:rsidRPr="0026001F" w:rsidRDefault="004C1336" w:rsidP="004C1336">
      <w:pPr>
        <w:spacing w:line="360" w:lineRule="auto"/>
        <w:rPr>
          <w:rFonts w:ascii="Times New Roman" w:hAnsi="Times New Roman" w:cs="Times New Roman"/>
          <w:sz w:val="24"/>
          <w:szCs w:val="24"/>
        </w:rPr>
      </w:pPr>
      <w:r w:rsidRPr="0026001F">
        <w:rPr>
          <w:rFonts w:ascii="Times New Roman" w:hAnsi="Times New Roman" w:cs="Times New Roman"/>
          <w:sz w:val="24"/>
          <w:szCs w:val="24"/>
        </w:rPr>
        <w:t>I so order.</w:t>
      </w:r>
    </w:p>
    <w:p w:rsidR="004C1336" w:rsidRPr="0026001F" w:rsidRDefault="004C1336" w:rsidP="004C1336">
      <w:pPr>
        <w:spacing w:line="360" w:lineRule="auto"/>
        <w:rPr>
          <w:rFonts w:ascii="Times New Roman" w:hAnsi="Times New Roman" w:cs="Times New Roman"/>
          <w:sz w:val="24"/>
          <w:szCs w:val="24"/>
        </w:rPr>
      </w:pP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w:t>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Henry I. Kawesa</w:t>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lastRenderedPageBreak/>
        <w:t>JUDGE</w:t>
      </w:r>
    </w:p>
    <w:p w:rsidR="004C1336" w:rsidRPr="0026001F" w:rsidRDefault="00134661" w:rsidP="004C1336">
      <w:pPr>
        <w:rPr>
          <w:rFonts w:ascii="Times New Roman" w:hAnsi="Times New Roman" w:cs="Times New Roman"/>
          <w:sz w:val="24"/>
          <w:szCs w:val="24"/>
        </w:rPr>
      </w:pPr>
      <w:r w:rsidRPr="0026001F">
        <w:rPr>
          <w:rFonts w:ascii="Times New Roman" w:hAnsi="Times New Roman" w:cs="Times New Roman"/>
          <w:sz w:val="24"/>
          <w:szCs w:val="24"/>
        </w:rPr>
        <w:t>27</w:t>
      </w:r>
      <w:r w:rsidR="004C1336" w:rsidRPr="0026001F">
        <w:rPr>
          <w:rFonts w:ascii="Times New Roman" w:hAnsi="Times New Roman" w:cs="Times New Roman"/>
          <w:sz w:val="24"/>
          <w:szCs w:val="24"/>
        </w:rPr>
        <w:t>/2/2018</w:t>
      </w:r>
    </w:p>
    <w:p w:rsidR="004C1336" w:rsidRPr="0026001F" w:rsidRDefault="004C1336" w:rsidP="004C1336">
      <w:pPr>
        <w:rPr>
          <w:rFonts w:ascii="Times New Roman" w:hAnsi="Times New Roman" w:cs="Times New Roman"/>
          <w:sz w:val="24"/>
          <w:szCs w:val="24"/>
        </w:rPr>
      </w:pPr>
    </w:p>
    <w:p w:rsidR="004C1336" w:rsidRPr="0026001F" w:rsidRDefault="00134661" w:rsidP="004C1336">
      <w:pPr>
        <w:rPr>
          <w:rFonts w:ascii="Times New Roman" w:hAnsi="Times New Roman" w:cs="Times New Roman"/>
          <w:sz w:val="24"/>
          <w:szCs w:val="24"/>
        </w:rPr>
      </w:pPr>
      <w:r w:rsidRPr="0026001F">
        <w:rPr>
          <w:rFonts w:ascii="Times New Roman" w:hAnsi="Times New Roman" w:cs="Times New Roman"/>
          <w:sz w:val="24"/>
          <w:szCs w:val="24"/>
          <w:u w:val="single"/>
        </w:rPr>
        <w:t>27</w:t>
      </w:r>
      <w:r w:rsidR="004C1336" w:rsidRPr="0026001F">
        <w:rPr>
          <w:rFonts w:ascii="Times New Roman" w:hAnsi="Times New Roman" w:cs="Times New Roman"/>
          <w:sz w:val="24"/>
          <w:szCs w:val="24"/>
          <w:u w:val="single"/>
        </w:rPr>
        <w:t>/02/2018</w:t>
      </w:r>
      <w:r w:rsidR="004C1336" w:rsidRPr="0026001F">
        <w:rPr>
          <w:rFonts w:ascii="Times New Roman" w:hAnsi="Times New Roman" w:cs="Times New Roman"/>
          <w:sz w:val="24"/>
          <w:szCs w:val="24"/>
        </w:rPr>
        <w:t>:</w:t>
      </w:r>
    </w:p>
    <w:p w:rsidR="004C1336" w:rsidRPr="0026001F" w:rsidRDefault="004C1336" w:rsidP="004C1336">
      <w:pPr>
        <w:rPr>
          <w:rFonts w:ascii="Times New Roman" w:hAnsi="Times New Roman" w:cs="Times New Roman"/>
          <w:sz w:val="24"/>
          <w:szCs w:val="24"/>
        </w:rPr>
      </w:pPr>
      <w:proofErr w:type="gramStart"/>
      <w:r w:rsidRPr="0026001F">
        <w:rPr>
          <w:rFonts w:ascii="Times New Roman" w:hAnsi="Times New Roman" w:cs="Times New Roman"/>
          <w:sz w:val="24"/>
          <w:szCs w:val="24"/>
        </w:rPr>
        <w:t>Mr. Lubega Budhala for Applicant present.</w:t>
      </w:r>
      <w:proofErr w:type="gramEnd"/>
    </w:p>
    <w:p w:rsidR="004C1336" w:rsidRPr="0026001F" w:rsidRDefault="004C1336" w:rsidP="004C1336">
      <w:pPr>
        <w:rPr>
          <w:rFonts w:ascii="Times New Roman" w:hAnsi="Times New Roman" w:cs="Times New Roman"/>
          <w:sz w:val="24"/>
          <w:szCs w:val="24"/>
        </w:rPr>
      </w:pPr>
      <w:proofErr w:type="gramStart"/>
      <w:r w:rsidRPr="0026001F">
        <w:rPr>
          <w:rFonts w:ascii="Times New Roman" w:hAnsi="Times New Roman" w:cs="Times New Roman"/>
          <w:sz w:val="24"/>
          <w:szCs w:val="24"/>
        </w:rPr>
        <w:t>Applicant absent.</w:t>
      </w:r>
      <w:proofErr w:type="gramEnd"/>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Respondents;</w:t>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2</w:t>
      </w:r>
      <w:r w:rsidRPr="0026001F">
        <w:rPr>
          <w:rFonts w:ascii="Times New Roman" w:hAnsi="Times New Roman" w:cs="Times New Roman"/>
          <w:sz w:val="24"/>
          <w:szCs w:val="24"/>
          <w:vertAlign w:val="superscript"/>
        </w:rPr>
        <w:t>nd</w:t>
      </w:r>
      <w:r w:rsidRPr="0026001F">
        <w:rPr>
          <w:rFonts w:ascii="Times New Roman" w:hAnsi="Times New Roman" w:cs="Times New Roman"/>
          <w:sz w:val="24"/>
          <w:szCs w:val="24"/>
        </w:rPr>
        <w:t xml:space="preserve"> Respondent present</w:t>
      </w:r>
      <w:r w:rsidRPr="0026001F">
        <w:rPr>
          <w:rStyle w:val="EndnoteReference"/>
          <w:rFonts w:ascii="Times New Roman" w:hAnsi="Times New Roman" w:cs="Times New Roman"/>
          <w:sz w:val="24"/>
          <w:szCs w:val="24"/>
        </w:rPr>
        <w:endnoteReference w:id="1"/>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6</w:t>
      </w:r>
      <w:r w:rsidRPr="0026001F">
        <w:rPr>
          <w:rFonts w:ascii="Times New Roman" w:hAnsi="Times New Roman" w:cs="Times New Roman"/>
          <w:sz w:val="24"/>
          <w:szCs w:val="24"/>
          <w:vertAlign w:val="superscript"/>
        </w:rPr>
        <w:t>th</w:t>
      </w:r>
      <w:r w:rsidRPr="0026001F">
        <w:rPr>
          <w:rFonts w:ascii="Times New Roman" w:hAnsi="Times New Roman" w:cs="Times New Roman"/>
          <w:sz w:val="24"/>
          <w:szCs w:val="24"/>
        </w:rPr>
        <w:t xml:space="preserve"> Respondents present.</w:t>
      </w:r>
    </w:p>
    <w:p w:rsidR="004C1336" w:rsidRPr="0026001F" w:rsidRDefault="004C1336" w:rsidP="004C1336">
      <w:pPr>
        <w:rPr>
          <w:rFonts w:ascii="Times New Roman" w:hAnsi="Times New Roman" w:cs="Times New Roman"/>
          <w:sz w:val="24"/>
          <w:szCs w:val="24"/>
        </w:rPr>
      </w:pPr>
      <w:proofErr w:type="gramStart"/>
      <w:r w:rsidRPr="0026001F">
        <w:rPr>
          <w:rFonts w:ascii="Times New Roman" w:hAnsi="Times New Roman" w:cs="Times New Roman"/>
          <w:sz w:val="24"/>
          <w:szCs w:val="24"/>
        </w:rPr>
        <w:t>5</w:t>
      </w:r>
      <w:r w:rsidRPr="0026001F">
        <w:rPr>
          <w:rFonts w:ascii="Times New Roman" w:hAnsi="Times New Roman" w:cs="Times New Roman"/>
          <w:sz w:val="24"/>
          <w:szCs w:val="24"/>
          <w:vertAlign w:val="superscript"/>
        </w:rPr>
        <w:t>th</w:t>
      </w:r>
      <w:r w:rsidRPr="0026001F">
        <w:rPr>
          <w:rFonts w:ascii="Times New Roman" w:hAnsi="Times New Roman" w:cs="Times New Roman"/>
          <w:sz w:val="24"/>
          <w:szCs w:val="24"/>
        </w:rPr>
        <w:t xml:space="preserve"> Respondent present.</w:t>
      </w:r>
      <w:proofErr w:type="gramEnd"/>
    </w:p>
    <w:p w:rsidR="004C1336" w:rsidRPr="0026001F" w:rsidRDefault="004C1336" w:rsidP="004C1336">
      <w:pPr>
        <w:rPr>
          <w:rFonts w:ascii="Times New Roman" w:hAnsi="Times New Roman" w:cs="Times New Roman"/>
          <w:sz w:val="24"/>
          <w:szCs w:val="24"/>
        </w:rPr>
      </w:pP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u w:val="single"/>
        </w:rPr>
        <w:t>Court</w:t>
      </w:r>
      <w:r w:rsidRPr="0026001F">
        <w:rPr>
          <w:rFonts w:ascii="Times New Roman" w:hAnsi="Times New Roman" w:cs="Times New Roman"/>
          <w:sz w:val="24"/>
          <w:szCs w:val="24"/>
        </w:rPr>
        <w:t>:</w:t>
      </w:r>
      <w:r w:rsidRPr="0026001F">
        <w:rPr>
          <w:rFonts w:ascii="Times New Roman" w:hAnsi="Times New Roman" w:cs="Times New Roman"/>
          <w:sz w:val="24"/>
          <w:szCs w:val="24"/>
        </w:rPr>
        <w:tab/>
        <w:t>Ruling given to the parties above.</w:t>
      </w:r>
    </w:p>
    <w:p w:rsidR="004C1336" w:rsidRPr="0026001F" w:rsidRDefault="004C1336" w:rsidP="004C1336">
      <w:pPr>
        <w:rPr>
          <w:rFonts w:ascii="Times New Roman" w:hAnsi="Times New Roman" w:cs="Times New Roman"/>
          <w:sz w:val="24"/>
          <w:szCs w:val="24"/>
        </w:rPr>
      </w:pP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w:t>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Henry I. Kawesa</w:t>
      </w:r>
    </w:p>
    <w:p w:rsidR="004C1336" w:rsidRPr="0026001F" w:rsidRDefault="004C1336" w:rsidP="004C1336">
      <w:pPr>
        <w:rPr>
          <w:rFonts w:ascii="Times New Roman" w:hAnsi="Times New Roman" w:cs="Times New Roman"/>
          <w:sz w:val="24"/>
          <w:szCs w:val="24"/>
        </w:rPr>
      </w:pPr>
      <w:r w:rsidRPr="0026001F">
        <w:rPr>
          <w:rFonts w:ascii="Times New Roman" w:hAnsi="Times New Roman" w:cs="Times New Roman"/>
          <w:sz w:val="24"/>
          <w:szCs w:val="24"/>
        </w:rPr>
        <w:t>JUDGE</w:t>
      </w:r>
    </w:p>
    <w:p w:rsidR="004C1336" w:rsidRPr="0026001F" w:rsidRDefault="00134661" w:rsidP="004C1336">
      <w:pPr>
        <w:rPr>
          <w:rFonts w:ascii="Times New Roman" w:hAnsi="Times New Roman" w:cs="Times New Roman"/>
          <w:sz w:val="24"/>
          <w:szCs w:val="24"/>
        </w:rPr>
      </w:pPr>
      <w:r w:rsidRPr="0026001F">
        <w:rPr>
          <w:rFonts w:ascii="Times New Roman" w:hAnsi="Times New Roman" w:cs="Times New Roman"/>
          <w:sz w:val="24"/>
          <w:szCs w:val="24"/>
        </w:rPr>
        <w:t>27</w:t>
      </w:r>
      <w:r w:rsidR="004C1336" w:rsidRPr="0026001F">
        <w:rPr>
          <w:rFonts w:ascii="Times New Roman" w:hAnsi="Times New Roman" w:cs="Times New Roman"/>
          <w:sz w:val="24"/>
          <w:szCs w:val="24"/>
        </w:rPr>
        <w:t>/2/2018</w:t>
      </w:r>
    </w:p>
    <w:p w:rsidR="00AE0F6D" w:rsidRPr="0026001F" w:rsidRDefault="00AE0F6D">
      <w:pPr>
        <w:rPr>
          <w:rFonts w:ascii="Times New Roman" w:hAnsi="Times New Roman" w:cs="Times New Roman"/>
          <w:sz w:val="24"/>
          <w:szCs w:val="24"/>
        </w:rPr>
      </w:pPr>
    </w:p>
    <w:sectPr w:rsidR="00AE0F6D" w:rsidRPr="0026001F">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ED" w:rsidRDefault="00226BED" w:rsidP="004C1336">
      <w:pPr>
        <w:spacing w:after="0" w:line="240" w:lineRule="auto"/>
      </w:pPr>
      <w:r>
        <w:separator/>
      </w:r>
    </w:p>
  </w:endnote>
  <w:endnote w:type="continuationSeparator" w:id="0">
    <w:p w:rsidR="00226BED" w:rsidRDefault="00226BED" w:rsidP="004C1336">
      <w:pPr>
        <w:spacing w:after="0" w:line="240" w:lineRule="auto"/>
      </w:pPr>
      <w:r>
        <w:continuationSeparator/>
      </w:r>
    </w:p>
  </w:endnote>
  <w:endnote w:id="1">
    <w:p w:rsidR="004C1336" w:rsidRPr="00A63457" w:rsidRDefault="004C1336" w:rsidP="00A6345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Pr="00CE7000" w:rsidRDefault="004C1336">
    <w:pPr>
      <w:pStyle w:val="Footer"/>
      <w:rPr>
        <w:rFonts w:ascii="Lucida Bright" w:hAnsi="Lucida Bright"/>
        <w:b/>
        <w:sz w:val="17"/>
        <w:szCs w:val="17"/>
      </w:rPr>
    </w:pPr>
    <w:r>
      <w:rPr>
        <w:rFonts w:ascii="Lucida Bright" w:hAnsi="Lucida Bright"/>
        <w:b/>
        <w:sz w:val="17"/>
        <w:szCs w:val="17"/>
      </w:rPr>
      <w:t>CIVIL SUIT NO. 202 OF 2016</w:t>
    </w:r>
    <w:r w:rsidR="009E680D">
      <w:rPr>
        <w:rFonts w:ascii="Lucida Bright" w:hAnsi="Lucida Bright"/>
        <w:b/>
        <w:sz w:val="17"/>
        <w:szCs w:val="17"/>
      </w:rPr>
      <w:t>; BUGEMBE</w:t>
    </w:r>
    <w:r>
      <w:rPr>
        <w:rFonts w:ascii="Lucida Bright" w:hAnsi="Lucida Bright"/>
        <w:b/>
        <w:sz w:val="17"/>
        <w:szCs w:val="17"/>
      </w:rPr>
      <w:t xml:space="preserve"> KAGGWA SEGUJJA VS STEPHEN ERIAKU &amp; ANOR</w:t>
    </w:r>
    <w:r w:rsidR="00197017" w:rsidRPr="00CE7000">
      <w:rPr>
        <w:rFonts w:ascii="Lucida Bright" w:hAnsi="Lucida Bright"/>
        <w:b/>
        <w:sz w:val="17"/>
        <w:szCs w:val="17"/>
      </w:rPr>
      <w:t xml:space="preserve"> (</w:t>
    </w:r>
    <w:r>
      <w:rPr>
        <w:rFonts w:ascii="Lucida Bright" w:hAnsi="Lucida Bright"/>
        <w:b/>
        <w:sz w:val="17"/>
        <w:szCs w:val="17"/>
      </w:rPr>
      <w:t>JUDGMENT</w:t>
    </w:r>
    <w:r w:rsidR="00197017" w:rsidRPr="00CE7000">
      <w:rPr>
        <w:rFonts w:ascii="Lucida Bright" w:hAnsi="Lucida Bright"/>
        <w:b/>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ED" w:rsidRDefault="00226BED" w:rsidP="004C1336">
      <w:pPr>
        <w:spacing w:after="0" w:line="240" w:lineRule="auto"/>
      </w:pPr>
      <w:r>
        <w:separator/>
      </w:r>
    </w:p>
  </w:footnote>
  <w:footnote w:type="continuationSeparator" w:id="0">
    <w:p w:rsidR="00226BED" w:rsidRDefault="00226BED" w:rsidP="004C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226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79847"/>
      <w:docPartObj>
        <w:docPartGallery w:val="Page Numbers (Top of Page)"/>
        <w:docPartUnique/>
      </w:docPartObj>
    </w:sdtPr>
    <w:sdtEndPr>
      <w:rPr>
        <w:noProof/>
      </w:rPr>
    </w:sdtEndPr>
    <w:sdtContent>
      <w:p w:rsidR="00DB6868" w:rsidRDefault="00DB6868">
        <w:pPr>
          <w:pStyle w:val="Header"/>
          <w:jc w:val="right"/>
        </w:pPr>
        <w:r>
          <w:fldChar w:fldCharType="begin"/>
        </w:r>
        <w:r>
          <w:instrText xml:space="preserve"> PAGE   \* MERGEFORMAT </w:instrText>
        </w:r>
        <w:r>
          <w:fldChar w:fldCharType="separate"/>
        </w:r>
        <w:r w:rsidR="0026001F">
          <w:rPr>
            <w:noProof/>
          </w:rPr>
          <w:t>1</w:t>
        </w:r>
        <w:r>
          <w:rPr>
            <w:noProof/>
          </w:rPr>
          <w:fldChar w:fldCharType="end"/>
        </w:r>
      </w:p>
    </w:sdtContent>
  </w:sdt>
  <w:p w:rsidR="00BC4075" w:rsidRDefault="00226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226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93C"/>
    <w:multiLevelType w:val="hybridMultilevel"/>
    <w:tmpl w:val="8808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776FF"/>
    <w:multiLevelType w:val="hybridMultilevel"/>
    <w:tmpl w:val="7FB85E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605407"/>
    <w:multiLevelType w:val="hybridMultilevel"/>
    <w:tmpl w:val="D73E0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70786"/>
    <w:multiLevelType w:val="hybridMultilevel"/>
    <w:tmpl w:val="A824D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472B2"/>
    <w:multiLevelType w:val="hybridMultilevel"/>
    <w:tmpl w:val="4B36BD08"/>
    <w:lvl w:ilvl="0" w:tplc="0B6C7CB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6"/>
    <w:rsid w:val="000203E1"/>
    <w:rsid w:val="00050FE2"/>
    <w:rsid w:val="00054ADE"/>
    <w:rsid w:val="000D4C1C"/>
    <w:rsid w:val="00134661"/>
    <w:rsid w:val="0014754A"/>
    <w:rsid w:val="00171E3D"/>
    <w:rsid w:val="00177E78"/>
    <w:rsid w:val="0019392E"/>
    <w:rsid w:val="00197017"/>
    <w:rsid w:val="0021688C"/>
    <w:rsid w:val="00226BED"/>
    <w:rsid w:val="00251043"/>
    <w:rsid w:val="0026001F"/>
    <w:rsid w:val="0028023F"/>
    <w:rsid w:val="00297F90"/>
    <w:rsid w:val="002A12D3"/>
    <w:rsid w:val="002D5F5C"/>
    <w:rsid w:val="002F0540"/>
    <w:rsid w:val="00362A75"/>
    <w:rsid w:val="00386B27"/>
    <w:rsid w:val="003C1474"/>
    <w:rsid w:val="004A52D8"/>
    <w:rsid w:val="004C1336"/>
    <w:rsid w:val="004D4EE0"/>
    <w:rsid w:val="00561B0A"/>
    <w:rsid w:val="0058096C"/>
    <w:rsid w:val="00581767"/>
    <w:rsid w:val="005B508B"/>
    <w:rsid w:val="0062181B"/>
    <w:rsid w:val="006644C4"/>
    <w:rsid w:val="00675FF1"/>
    <w:rsid w:val="00694210"/>
    <w:rsid w:val="006A7B89"/>
    <w:rsid w:val="006E2247"/>
    <w:rsid w:val="007246CB"/>
    <w:rsid w:val="0073694B"/>
    <w:rsid w:val="00774CB1"/>
    <w:rsid w:val="007B5032"/>
    <w:rsid w:val="007E4F20"/>
    <w:rsid w:val="007F2AEB"/>
    <w:rsid w:val="007F552F"/>
    <w:rsid w:val="008035A9"/>
    <w:rsid w:val="008245EE"/>
    <w:rsid w:val="00847542"/>
    <w:rsid w:val="008A23FB"/>
    <w:rsid w:val="0094262F"/>
    <w:rsid w:val="009A2748"/>
    <w:rsid w:val="009A2DA8"/>
    <w:rsid w:val="009C0D44"/>
    <w:rsid w:val="009E680D"/>
    <w:rsid w:val="00A30CD0"/>
    <w:rsid w:val="00A63457"/>
    <w:rsid w:val="00AA08CF"/>
    <w:rsid w:val="00AE0F6D"/>
    <w:rsid w:val="00AF320C"/>
    <w:rsid w:val="00AF5750"/>
    <w:rsid w:val="00B72DF5"/>
    <w:rsid w:val="00BA3AA5"/>
    <w:rsid w:val="00BC0549"/>
    <w:rsid w:val="00C1654D"/>
    <w:rsid w:val="00C24007"/>
    <w:rsid w:val="00C35A27"/>
    <w:rsid w:val="00C361A7"/>
    <w:rsid w:val="00C453B7"/>
    <w:rsid w:val="00C80050"/>
    <w:rsid w:val="00C86A3F"/>
    <w:rsid w:val="00CC18BA"/>
    <w:rsid w:val="00D127B7"/>
    <w:rsid w:val="00D1490F"/>
    <w:rsid w:val="00D3538C"/>
    <w:rsid w:val="00D57D6F"/>
    <w:rsid w:val="00D72DB5"/>
    <w:rsid w:val="00DA0E04"/>
    <w:rsid w:val="00DA1551"/>
    <w:rsid w:val="00DB6868"/>
    <w:rsid w:val="00DD6FC5"/>
    <w:rsid w:val="00DE3491"/>
    <w:rsid w:val="00DE5EE2"/>
    <w:rsid w:val="00E00F0D"/>
    <w:rsid w:val="00E23873"/>
    <w:rsid w:val="00E24548"/>
    <w:rsid w:val="00E26287"/>
    <w:rsid w:val="00E95FB0"/>
    <w:rsid w:val="00EA4FE2"/>
    <w:rsid w:val="00F055EE"/>
    <w:rsid w:val="00F13125"/>
    <w:rsid w:val="00F33FBA"/>
    <w:rsid w:val="00F42411"/>
    <w:rsid w:val="00F92D1D"/>
    <w:rsid w:val="00FB6E5A"/>
    <w:rsid w:val="00FC7456"/>
    <w:rsid w:val="00FD4206"/>
    <w:rsid w:val="00FF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36"/>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36"/>
    <w:pPr>
      <w:ind w:left="720"/>
      <w:contextualSpacing/>
    </w:pPr>
  </w:style>
  <w:style w:type="paragraph" w:styleId="Header">
    <w:name w:val="header"/>
    <w:basedOn w:val="Normal"/>
    <w:link w:val="HeaderChar"/>
    <w:uiPriority w:val="99"/>
    <w:unhideWhenUsed/>
    <w:rsid w:val="004C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36"/>
    <w:rPr>
      <w:rFonts w:eastAsiaTheme="minorEastAsia"/>
      <w:sz w:val="20"/>
      <w:szCs w:val="20"/>
    </w:rPr>
  </w:style>
  <w:style w:type="paragraph" w:styleId="Footer">
    <w:name w:val="footer"/>
    <w:basedOn w:val="Normal"/>
    <w:link w:val="FooterChar"/>
    <w:uiPriority w:val="99"/>
    <w:unhideWhenUsed/>
    <w:rsid w:val="004C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36"/>
    <w:rPr>
      <w:rFonts w:eastAsiaTheme="minorEastAsia"/>
      <w:sz w:val="20"/>
      <w:szCs w:val="20"/>
    </w:rPr>
  </w:style>
  <w:style w:type="paragraph" w:styleId="EndnoteText">
    <w:name w:val="endnote text"/>
    <w:basedOn w:val="Normal"/>
    <w:link w:val="EndnoteTextChar"/>
    <w:uiPriority w:val="99"/>
    <w:semiHidden/>
    <w:unhideWhenUsed/>
    <w:rsid w:val="004C1336"/>
    <w:pPr>
      <w:spacing w:after="0" w:line="240" w:lineRule="auto"/>
    </w:pPr>
  </w:style>
  <w:style w:type="character" w:customStyle="1" w:styleId="EndnoteTextChar">
    <w:name w:val="Endnote Text Char"/>
    <w:basedOn w:val="DefaultParagraphFont"/>
    <w:link w:val="EndnoteText"/>
    <w:uiPriority w:val="99"/>
    <w:semiHidden/>
    <w:rsid w:val="004C1336"/>
    <w:rPr>
      <w:rFonts w:eastAsiaTheme="minorEastAsia"/>
      <w:sz w:val="20"/>
      <w:szCs w:val="20"/>
    </w:rPr>
  </w:style>
  <w:style w:type="character" w:styleId="EndnoteReference">
    <w:name w:val="endnote reference"/>
    <w:basedOn w:val="DefaultParagraphFont"/>
    <w:uiPriority w:val="99"/>
    <w:semiHidden/>
    <w:unhideWhenUsed/>
    <w:rsid w:val="004C1336"/>
    <w:rPr>
      <w:vertAlign w:val="superscript"/>
    </w:rPr>
  </w:style>
  <w:style w:type="paragraph" w:styleId="FootnoteText">
    <w:name w:val="footnote text"/>
    <w:basedOn w:val="Normal"/>
    <w:link w:val="FootnoteTextChar"/>
    <w:uiPriority w:val="99"/>
    <w:semiHidden/>
    <w:unhideWhenUsed/>
    <w:rsid w:val="009A2748"/>
    <w:pPr>
      <w:spacing w:after="0" w:line="240" w:lineRule="auto"/>
    </w:pPr>
  </w:style>
  <w:style w:type="character" w:customStyle="1" w:styleId="FootnoteTextChar">
    <w:name w:val="Footnote Text Char"/>
    <w:basedOn w:val="DefaultParagraphFont"/>
    <w:link w:val="FootnoteText"/>
    <w:uiPriority w:val="99"/>
    <w:semiHidden/>
    <w:rsid w:val="009A2748"/>
    <w:rPr>
      <w:rFonts w:eastAsiaTheme="minorEastAsia"/>
      <w:sz w:val="20"/>
      <w:szCs w:val="20"/>
    </w:rPr>
  </w:style>
  <w:style w:type="character" w:styleId="FootnoteReference">
    <w:name w:val="footnote reference"/>
    <w:basedOn w:val="DefaultParagraphFont"/>
    <w:uiPriority w:val="99"/>
    <w:semiHidden/>
    <w:unhideWhenUsed/>
    <w:rsid w:val="009A2748"/>
    <w:rPr>
      <w:vertAlign w:val="superscript"/>
    </w:rPr>
  </w:style>
  <w:style w:type="paragraph" w:styleId="BalloonText">
    <w:name w:val="Balloon Text"/>
    <w:basedOn w:val="Normal"/>
    <w:link w:val="BalloonTextChar"/>
    <w:uiPriority w:val="99"/>
    <w:semiHidden/>
    <w:unhideWhenUsed/>
    <w:rsid w:val="004D4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E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36"/>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36"/>
    <w:pPr>
      <w:ind w:left="720"/>
      <w:contextualSpacing/>
    </w:pPr>
  </w:style>
  <w:style w:type="paragraph" w:styleId="Header">
    <w:name w:val="header"/>
    <w:basedOn w:val="Normal"/>
    <w:link w:val="HeaderChar"/>
    <w:uiPriority w:val="99"/>
    <w:unhideWhenUsed/>
    <w:rsid w:val="004C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36"/>
    <w:rPr>
      <w:rFonts w:eastAsiaTheme="minorEastAsia"/>
      <w:sz w:val="20"/>
      <w:szCs w:val="20"/>
    </w:rPr>
  </w:style>
  <w:style w:type="paragraph" w:styleId="Footer">
    <w:name w:val="footer"/>
    <w:basedOn w:val="Normal"/>
    <w:link w:val="FooterChar"/>
    <w:uiPriority w:val="99"/>
    <w:unhideWhenUsed/>
    <w:rsid w:val="004C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36"/>
    <w:rPr>
      <w:rFonts w:eastAsiaTheme="minorEastAsia"/>
      <w:sz w:val="20"/>
      <w:szCs w:val="20"/>
    </w:rPr>
  </w:style>
  <w:style w:type="paragraph" w:styleId="EndnoteText">
    <w:name w:val="endnote text"/>
    <w:basedOn w:val="Normal"/>
    <w:link w:val="EndnoteTextChar"/>
    <w:uiPriority w:val="99"/>
    <w:semiHidden/>
    <w:unhideWhenUsed/>
    <w:rsid w:val="004C1336"/>
    <w:pPr>
      <w:spacing w:after="0" w:line="240" w:lineRule="auto"/>
    </w:pPr>
  </w:style>
  <w:style w:type="character" w:customStyle="1" w:styleId="EndnoteTextChar">
    <w:name w:val="Endnote Text Char"/>
    <w:basedOn w:val="DefaultParagraphFont"/>
    <w:link w:val="EndnoteText"/>
    <w:uiPriority w:val="99"/>
    <w:semiHidden/>
    <w:rsid w:val="004C1336"/>
    <w:rPr>
      <w:rFonts w:eastAsiaTheme="minorEastAsia"/>
      <w:sz w:val="20"/>
      <w:szCs w:val="20"/>
    </w:rPr>
  </w:style>
  <w:style w:type="character" w:styleId="EndnoteReference">
    <w:name w:val="endnote reference"/>
    <w:basedOn w:val="DefaultParagraphFont"/>
    <w:uiPriority w:val="99"/>
    <w:semiHidden/>
    <w:unhideWhenUsed/>
    <w:rsid w:val="004C1336"/>
    <w:rPr>
      <w:vertAlign w:val="superscript"/>
    </w:rPr>
  </w:style>
  <w:style w:type="paragraph" w:styleId="FootnoteText">
    <w:name w:val="footnote text"/>
    <w:basedOn w:val="Normal"/>
    <w:link w:val="FootnoteTextChar"/>
    <w:uiPriority w:val="99"/>
    <w:semiHidden/>
    <w:unhideWhenUsed/>
    <w:rsid w:val="009A2748"/>
    <w:pPr>
      <w:spacing w:after="0" w:line="240" w:lineRule="auto"/>
    </w:pPr>
  </w:style>
  <w:style w:type="character" w:customStyle="1" w:styleId="FootnoteTextChar">
    <w:name w:val="Footnote Text Char"/>
    <w:basedOn w:val="DefaultParagraphFont"/>
    <w:link w:val="FootnoteText"/>
    <w:uiPriority w:val="99"/>
    <w:semiHidden/>
    <w:rsid w:val="009A2748"/>
    <w:rPr>
      <w:rFonts w:eastAsiaTheme="minorEastAsia"/>
      <w:sz w:val="20"/>
      <w:szCs w:val="20"/>
    </w:rPr>
  </w:style>
  <w:style w:type="character" w:styleId="FootnoteReference">
    <w:name w:val="footnote reference"/>
    <w:basedOn w:val="DefaultParagraphFont"/>
    <w:uiPriority w:val="99"/>
    <w:semiHidden/>
    <w:unhideWhenUsed/>
    <w:rsid w:val="009A2748"/>
    <w:rPr>
      <w:vertAlign w:val="superscript"/>
    </w:rPr>
  </w:style>
  <w:style w:type="paragraph" w:styleId="BalloonText">
    <w:name w:val="Balloon Text"/>
    <w:basedOn w:val="Normal"/>
    <w:link w:val="BalloonTextChar"/>
    <w:uiPriority w:val="99"/>
    <w:semiHidden/>
    <w:unhideWhenUsed/>
    <w:rsid w:val="004D4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1929-31A4-4C0C-9E29-BDA1B652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2018-02-28T11:47:00Z</cp:lastPrinted>
  <dcterms:created xsi:type="dcterms:W3CDTF">2018-03-14T08:28:00Z</dcterms:created>
  <dcterms:modified xsi:type="dcterms:W3CDTF">2018-03-14T08:28:00Z</dcterms:modified>
</cp:coreProperties>
</file>