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61" w:rsidRPr="00421AF7" w:rsidRDefault="00936B61" w:rsidP="00421AF7">
      <w:pPr>
        <w:spacing w:line="360" w:lineRule="auto"/>
        <w:jc w:val="center"/>
        <w:rPr>
          <w:rFonts w:ascii="Times New Roman" w:hAnsi="Times New Roman"/>
          <w:b/>
          <w:sz w:val="24"/>
          <w:szCs w:val="24"/>
        </w:rPr>
      </w:pPr>
      <w:r w:rsidRPr="00421AF7">
        <w:rPr>
          <w:rFonts w:ascii="Times New Roman" w:hAnsi="Times New Roman"/>
          <w:b/>
          <w:sz w:val="24"/>
          <w:szCs w:val="24"/>
        </w:rPr>
        <w:t>LUKIDI THE REPUBLIC OF UGANDA</w:t>
      </w:r>
    </w:p>
    <w:p w:rsidR="00936B61" w:rsidRPr="00421AF7" w:rsidRDefault="00936B61" w:rsidP="00421AF7">
      <w:pPr>
        <w:spacing w:line="360" w:lineRule="auto"/>
        <w:jc w:val="center"/>
        <w:rPr>
          <w:rFonts w:ascii="Times New Roman" w:hAnsi="Times New Roman"/>
          <w:b/>
          <w:sz w:val="24"/>
          <w:szCs w:val="24"/>
        </w:rPr>
      </w:pPr>
      <w:r w:rsidRPr="00421AF7">
        <w:rPr>
          <w:rFonts w:ascii="Times New Roman" w:hAnsi="Times New Roman"/>
          <w:b/>
          <w:sz w:val="24"/>
          <w:szCs w:val="24"/>
        </w:rPr>
        <w:t>IN THE HIGH COURT OF UGANDA AT MASAKA</w:t>
      </w:r>
    </w:p>
    <w:p w:rsidR="00936B61" w:rsidRPr="00421AF7" w:rsidRDefault="00936B61" w:rsidP="00421AF7">
      <w:pPr>
        <w:pStyle w:val="NormalWeb"/>
        <w:spacing w:line="360" w:lineRule="auto"/>
        <w:jc w:val="center"/>
        <w:rPr>
          <w:b/>
          <w:bCs/>
        </w:rPr>
      </w:pPr>
      <w:r w:rsidRPr="00421AF7">
        <w:rPr>
          <w:b/>
          <w:bCs/>
        </w:rPr>
        <w:t>HCT-06-CR-SC-00</w:t>
      </w:r>
      <w:r w:rsidR="00AB1F64" w:rsidRPr="00421AF7">
        <w:rPr>
          <w:b/>
          <w:bCs/>
        </w:rPr>
        <w:t>35</w:t>
      </w:r>
      <w:r w:rsidRPr="00421AF7">
        <w:rPr>
          <w:b/>
          <w:bCs/>
        </w:rPr>
        <w:t xml:space="preserve"> OF 2013</w:t>
      </w:r>
    </w:p>
    <w:p w:rsidR="00936B61" w:rsidRPr="00421AF7" w:rsidRDefault="00936B61" w:rsidP="00421AF7">
      <w:pPr>
        <w:pStyle w:val="NormalWeb"/>
        <w:spacing w:line="360" w:lineRule="auto"/>
        <w:rPr>
          <w:b/>
          <w:bCs/>
        </w:rPr>
      </w:pPr>
      <w:r w:rsidRPr="00421AF7">
        <w:rPr>
          <w:b/>
          <w:bCs/>
        </w:rPr>
        <w:t>UGANDA........................................................................................................ PROSECUTOR</w:t>
      </w:r>
    </w:p>
    <w:p w:rsidR="00936B61" w:rsidRPr="00421AF7" w:rsidRDefault="00936B61" w:rsidP="00421AF7">
      <w:pPr>
        <w:pStyle w:val="NormalWeb"/>
        <w:spacing w:line="360" w:lineRule="auto"/>
        <w:jc w:val="center"/>
        <w:rPr>
          <w:b/>
          <w:bCs/>
        </w:rPr>
      </w:pPr>
      <w:r w:rsidRPr="00421AF7">
        <w:rPr>
          <w:b/>
          <w:bCs/>
        </w:rPr>
        <w:t>VERSUS</w:t>
      </w:r>
      <w:bookmarkStart w:id="0" w:name="_GoBack"/>
      <w:bookmarkEnd w:id="0"/>
    </w:p>
    <w:p w:rsidR="00D24E70" w:rsidRPr="00421AF7" w:rsidRDefault="00D24E70" w:rsidP="00421AF7">
      <w:pPr>
        <w:pStyle w:val="NormalWeb"/>
        <w:spacing w:line="360" w:lineRule="auto"/>
        <w:rPr>
          <w:b/>
          <w:bCs/>
        </w:rPr>
      </w:pPr>
      <w:r w:rsidRPr="00421AF7">
        <w:rPr>
          <w:b/>
          <w:bCs/>
        </w:rPr>
        <w:t>LUKIDI SAMULA</w:t>
      </w:r>
    </w:p>
    <w:p w:rsidR="00D24E70" w:rsidRPr="00421AF7" w:rsidRDefault="00D24E70" w:rsidP="00421AF7">
      <w:pPr>
        <w:pStyle w:val="NormalWeb"/>
        <w:spacing w:line="360" w:lineRule="auto"/>
        <w:rPr>
          <w:b/>
          <w:bCs/>
        </w:rPr>
      </w:pPr>
      <w:r w:rsidRPr="00421AF7">
        <w:rPr>
          <w:b/>
          <w:bCs/>
        </w:rPr>
        <w:t>NAHEBWA TAMUSONI</w:t>
      </w:r>
    </w:p>
    <w:p w:rsidR="00936B61" w:rsidRPr="00421AF7" w:rsidRDefault="00D24E70" w:rsidP="00421AF7">
      <w:pPr>
        <w:pStyle w:val="NormalWeb"/>
        <w:spacing w:line="360" w:lineRule="auto"/>
        <w:rPr>
          <w:b/>
          <w:bCs/>
        </w:rPr>
      </w:pPr>
      <w:r w:rsidRPr="00421AF7">
        <w:rPr>
          <w:b/>
          <w:bCs/>
        </w:rPr>
        <w:t>NAKYOWA EASTER GRACE</w:t>
      </w:r>
      <w:r w:rsidR="00936B61" w:rsidRPr="00421AF7">
        <w:rPr>
          <w:b/>
          <w:bCs/>
        </w:rPr>
        <w:t xml:space="preserve">.................................................................................ACCUSED </w:t>
      </w:r>
    </w:p>
    <w:p w:rsidR="00936B61" w:rsidRPr="00421AF7" w:rsidRDefault="00936B61" w:rsidP="00421AF7">
      <w:pPr>
        <w:spacing w:line="360" w:lineRule="auto"/>
        <w:jc w:val="center"/>
        <w:rPr>
          <w:rFonts w:ascii="Times New Roman" w:hAnsi="Times New Roman"/>
          <w:b/>
          <w:bCs/>
          <w:sz w:val="24"/>
          <w:szCs w:val="24"/>
        </w:rPr>
      </w:pPr>
      <w:r w:rsidRPr="00421AF7">
        <w:rPr>
          <w:rFonts w:ascii="Times New Roman" w:hAnsi="Times New Roman"/>
          <w:b/>
          <w:bCs/>
          <w:sz w:val="24"/>
          <w:szCs w:val="24"/>
        </w:rPr>
        <w:t>RULING</w:t>
      </w:r>
    </w:p>
    <w:p w:rsidR="00936B61" w:rsidRPr="00421AF7" w:rsidRDefault="00936B61" w:rsidP="00421AF7">
      <w:pPr>
        <w:spacing w:line="360" w:lineRule="auto"/>
        <w:jc w:val="center"/>
        <w:rPr>
          <w:rFonts w:ascii="Times New Roman" w:hAnsi="Times New Roman"/>
          <w:b/>
          <w:bCs/>
          <w:sz w:val="24"/>
          <w:szCs w:val="24"/>
        </w:rPr>
      </w:pPr>
      <w:r w:rsidRPr="00421AF7">
        <w:rPr>
          <w:rFonts w:ascii="Times New Roman" w:hAnsi="Times New Roman"/>
          <w:b/>
          <w:bCs/>
          <w:sz w:val="24"/>
          <w:szCs w:val="24"/>
        </w:rPr>
        <w:t xml:space="preserve">BEFORE: Hon. Lady Justice Margaret </w:t>
      </w:r>
      <w:proofErr w:type="spellStart"/>
      <w:r w:rsidRPr="00421AF7">
        <w:rPr>
          <w:rFonts w:ascii="Times New Roman" w:hAnsi="Times New Roman"/>
          <w:b/>
          <w:bCs/>
          <w:sz w:val="24"/>
          <w:szCs w:val="24"/>
        </w:rPr>
        <w:t>Tibulya</w:t>
      </w:r>
      <w:proofErr w:type="spellEnd"/>
      <w:r w:rsidRPr="00421AF7">
        <w:rPr>
          <w:rFonts w:ascii="Times New Roman" w:hAnsi="Times New Roman"/>
          <w:b/>
          <w:bCs/>
          <w:sz w:val="24"/>
          <w:szCs w:val="24"/>
        </w:rPr>
        <w:t>.</w:t>
      </w:r>
    </w:p>
    <w:p w:rsidR="00936B61" w:rsidRPr="00421AF7" w:rsidRDefault="00936B61" w:rsidP="00421AF7">
      <w:pPr>
        <w:spacing w:line="360" w:lineRule="auto"/>
        <w:rPr>
          <w:rFonts w:ascii="Times New Roman" w:hAnsi="Times New Roman"/>
          <w:bCs/>
          <w:sz w:val="24"/>
          <w:szCs w:val="24"/>
        </w:rPr>
      </w:pPr>
      <w:r w:rsidRPr="00421AF7">
        <w:rPr>
          <w:rFonts w:ascii="Times New Roman" w:hAnsi="Times New Roman"/>
          <w:bCs/>
          <w:sz w:val="24"/>
          <w:szCs w:val="24"/>
        </w:rPr>
        <w:t>This is a ruling on a submission of no case to answer.</w:t>
      </w:r>
      <w:r w:rsidR="00D24E70" w:rsidRPr="00421AF7">
        <w:rPr>
          <w:rFonts w:ascii="Times New Roman" w:hAnsi="Times New Roman"/>
          <w:bCs/>
          <w:sz w:val="24"/>
          <w:szCs w:val="24"/>
        </w:rPr>
        <w:t xml:space="preserve"> The accused stands charged with the murder of NAKIRANDA EASTHER. </w:t>
      </w:r>
    </w:p>
    <w:p w:rsidR="00D24E70" w:rsidRPr="00421AF7" w:rsidRDefault="00936B61" w:rsidP="00421AF7">
      <w:pPr>
        <w:spacing w:line="360" w:lineRule="auto"/>
        <w:rPr>
          <w:rFonts w:ascii="Times New Roman" w:hAnsi="Times New Roman"/>
          <w:bCs/>
          <w:sz w:val="24"/>
          <w:szCs w:val="24"/>
        </w:rPr>
      </w:pPr>
      <w:proofErr w:type="gramStart"/>
      <w:r w:rsidRPr="00421AF7">
        <w:rPr>
          <w:rFonts w:ascii="Times New Roman" w:hAnsi="Times New Roman"/>
          <w:bCs/>
          <w:sz w:val="24"/>
          <w:szCs w:val="24"/>
        </w:rPr>
        <w:t>The brief facts that in the night of 2</w:t>
      </w:r>
      <w:r w:rsidR="00D24E70" w:rsidRPr="00421AF7">
        <w:rPr>
          <w:rFonts w:ascii="Times New Roman" w:hAnsi="Times New Roman"/>
          <w:bCs/>
          <w:sz w:val="24"/>
          <w:szCs w:val="24"/>
        </w:rPr>
        <w:t>8th</w:t>
      </w:r>
      <w:r w:rsidRPr="00421AF7">
        <w:rPr>
          <w:rFonts w:ascii="Times New Roman" w:hAnsi="Times New Roman"/>
          <w:bCs/>
          <w:sz w:val="24"/>
          <w:szCs w:val="24"/>
        </w:rPr>
        <w:t xml:space="preserve"> of </w:t>
      </w:r>
      <w:r w:rsidR="00D24E70" w:rsidRPr="00421AF7">
        <w:rPr>
          <w:rFonts w:ascii="Times New Roman" w:hAnsi="Times New Roman"/>
          <w:bCs/>
          <w:sz w:val="24"/>
          <w:szCs w:val="24"/>
        </w:rPr>
        <w:t>September</w:t>
      </w:r>
      <w:r w:rsidRPr="00421AF7">
        <w:rPr>
          <w:rFonts w:ascii="Times New Roman" w:hAnsi="Times New Roman"/>
          <w:bCs/>
          <w:sz w:val="24"/>
          <w:szCs w:val="24"/>
        </w:rPr>
        <w:t xml:space="preserve"> 2012 </w:t>
      </w:r>
      <w:r w:rsidR="00D24E70" w:rsidRPr="00421AF7">
        <w:rPr>
          <w:rFonts w:ascii="Times New Roman" w:hAnsi="Times New Roman"/>
          <w:bCs/>
          <w:sz w:val="24"/>
          <w:szCs w:val="24"/>
        </w:rPr>
        <w:t>the deceased was murdered.</w:t>
      </w:r>
      <w:proofErr w:type="gramEnd"/>
      <w:r w:rsidR="00D24E70" w:rsidRPr="00421AF7">
        <w:rPr>
          <w:rFonts w:ascii="Times New Roman" w:hAnsi="Times New Roman"/>
          <w:bCs/>
          <w:sz w:val="24"/>
          <w:szCs w:val="24"/>
        </w:rPr>
        <w:t xml:space="preserve"> She was found dead the next morning. The prosecution evidence was that A1 (</w:t>
      </w:r>
      <w:proofErr w:type="spellStart"/>
      <w:r w:rsidR="00D24E70" w:rsidRPr="00421AF7">
        <w:rPr>
          <w:rFonts w:ascii="Times New Roman" w:hAnsi="Times New Roman"/>
          <w:bCs/>
          <w:sz w:val="24"/>
          <w:szCs w:val="24"/>
        </w:rPr>
        <w:t>Lukidi</w:t>
      </w:r>
      <w:proofErr w:type="spellEnd"/>
      <w:r w:rsidR="00D24E70" w:rsidRPr="00421AF7">
        <w:rPr>
          <w:rFonts w:ascii="Times New Roman" w:hAnsi="Times New Roman"/>
          <w:bCs/>
          <w:sz w:val="24"/>
          <w:szCs w:val="24"/>
        </w:rPr>
        <w:t>) and A3 (</w:t>
      </w:r>
      <w:proofErr w:type="spellStart"/>
      <w:r w:rsidR="00D24E70" w:rsidRPr="00421AF7">
        <w:rPr>
          <w:rFonts w:ascii="Times New Roman" w:hAnsi="Times New Roman"/>
          <w:bCs/>
          <w:sz w:val="24"/>
          <w:szCs w:val="24"/>
        </w:rPr>
        <w:t>Nakyowa</w:t>
      </w:r>
      <w:proofErr w:type="spellEnd"/>
      <w:r w:rsidR="00D24E70" w:rsidRPr="00421AF7">
        <w:rPr>
          <w:rFonts w:ascii="Times New Roman" w:hAnsi="Times New Roman"/>
          <w:bCs/>
          <w:sz w:val="24"/>
          <w:szCs w:val="24"/>
        </w:rPr>
        <w:t>)</w:t>
      </w:r>
      <w:r w:rsidRPr="00421AF7">
        <w:rPr>
          <w:rFonts w:ascii="Times New Roman" w:hAnsi="Times New Roman"/>
          <w:bCs/>
          <w:sz w:val="24"/>
          <w:szCs w:val="24"/>
        </w:rPr>
        <w:t xml:space="preserve"> </w:t>
      </w:r>
      <w:r w:rsidR="00D24E70" w:rsidRPr="00421AF7">
        <w:rPr>
          <w:rFonts w:ascii="Times New Roman" w:hAnsi="Times New Roman"/>
          <w:bCs/>
          <w:sz w:val="24"/>
          <w:szCs w:val="24"/>
        </w:rPr>
        <w:t>had been having quarrels with the deceased and it is on this basis that they were charged with her murder. A2 (</w:t>
      </w:r>
      <w:proofErr w:type="spellStart"/>
      <w:r w:rsidR="00D24E70" w:rsidRPr="00421AF7">
        <w:rPr>
          <w:rFonts w:ascii="Times New Roman" w:hAnsi="Times New Roman"/>
          <w:bCs/>
          <w:sz w:val="24"/>
          <w:szCs w:val="24"/>
        </w:rPr>
        <w:t>Nahebwa</w:t>
      </w:r>
      <w:proofErr w:type="spellEnd"/>
      <w:r w:rsidR="00D24E70" w:rsidRPr="00421AF7">
        <w:rPr>
          <w:rFonts w:ascii="Times New Roman" w:hAnsi="Times New Roman"/>
          <w:bCs/>
          <w:sz w:val="24"/>
          <w:szCs w:val="24"/>
        </w:rPr>
        <w:t>) had just come into that area and was homeless. He was also charged on suspicion that he was involved in the murder.</w:t>
      </w:r>
    </w:p>
    <w:p w:rsidR="00936B61" w:rsidRPr="00421AF7" w:rsidRDefault="00936B61" w:rsidP="00421AF7">
      <w:pPr>
        <w:spacing w:line="360" w:lineRule="auto"/>
        <w:rPr>
          <w:rFonts w:ascii="Times New Roman" w:hAnsi="Times New Roman"/>
          <w:bCs/>
          <w:sz w:val="24"/>
          <w:szCs w:val="24"/>
        </w:rPr>
      </w:pPr>
      <w:r w:rsidRPr="00421AF7">
        <w:rPr>
          <w:rFonts w:ascii="Times New Roman" w:hAnsi="Times New Roman"/>
          <w:bCs/>
          <w:sz w:val="24"/>
          <w:szCs w:val="24"/>
        </w:rPr>
        <w:t>At the close of the prosecution case Counsel for the accused submitted that the state had not adduced sufficient evidence to warrant the accused to make a defence.</w:t>
      </w:r>
      <w:r w:rsidR="00D24E70" w:rsidRPr="00421AF7">
        <w:rPr>
          <w:rFonts w:ascii="Times New Roman" w:hAnsi="Times New Roman"/>
          <w:bCs/>
          <w:sz w:val="24"/>
          <w:szCs w:val="24"/>
        </w:rPr>
        <w:t xml:space="preserve"> </w:t>
      </w:r>
      <w:r w:rsidRPr="00421AF7">
        <w:rPr>
          <w:rFonts w:ascii="Times New Roman" w:hAnsi="Times New Roman"/>
          <w:sz w:val="24"/>
          <w:szCs w:val="24"/>
        </w:rPr>
        <w:t>A submission of no case to answer will be upheld inter-alia when a major ingredient of the offence has not been proved.</w:t>
      </w:r>
    </w:p>
    <w:p w:rsidR="00936B61" w:rsidRPr="00421AF7" w:rsidRDefault="00936B61" w:rsidP="00421AF7">
      <w:pPr>
        <w:pStyle w:val="NormalWeb"/>
        <w:spacing w:after="240" w:afterAutospacing="0" w:line="360" w:lineRule="auto"/>
        <w:jc w:val="center"/>
        <w:rPr>
          <w:b/>
        </w:rPr>
      </w:pPr>
      <w:proofErr w:type="gramStart"/>
      <w:r w:rsidRPr="00421AF7">
        <w:rPr>
          <w:b/>
        </w:rPr>
        <w:t>THE INGREDIENTS FOR AGGRAVATED ROBBERY.</w:t>
      </w:r>
      <w:proofErr w:type="gramEnd"/>
    </w:p>
    <w:p w:rsidR="00936B61" w:rsidRPr="00421AF7" w:rsidRDefault="00D24E70" w:rsidP="00421AF7">
      <w:pPr>
        <w:pStyle w:val="NormalWeb"/>
        <w:numPr>
          <w:ilvl w:val="0"/>
          <w:numId w:val="1"/>
        </w:numPr>
        <w:spacing w:beforeAutospacing="0" w:after="240" w:afterAutospacing="0" w:line="360" w:lineRule="auto"/>
      </w:pPr>
      <w:r w:rsidRPr="00421AF7">
        <w:t>Death of a person</w:t>
      </w:r>
      <w:r w:rsidR="00936B61" w:rsidRPr="00421AF7">
        <w:t>,</w:t>
      </w:r>
    </w:p>
    <w:p w:rsidR="00936B61" w:rsidRPr="00421AF7" w:rsidRDefault="00D24E70" w:rsidP="00421AF7">
      <w:pPr>
        <w:pStyle w:val="NormalWeb"/>
        <w:numPr>
          <w:ilvl w:val="0"/>
          <w:numId w:val="1"/>
        </w:numPr>
        <w:spacing w:beforeAutospacing="0" w:after="240" w:afterAutospacing="0" w:line="360" w:lineRule="auto"/>
        <w:rPr>
          <w:b/>
        </w:rPr>
      </w:pPr>
      <w:r w:rsidRPr="00421AF7">
        <w:rPr>
          <w:color w:val="000222"/>
          <w:shd w:val="clear" w:color="auto" w:fill="FFFFFF"/>
        </w:rPr>
        <w:lastRenderedPageBreak/>
        <w:t>The death was unlawful,</w:t>
      </w:r>
    </w:p>
    <w:p w:rsidR="00D24E70" w:rsidRPr="00421AF7" w:rsidRDefault="00D24E70" w:rsidP="00421AF7">
      <w:pPr>
        <w:pStyle w:val="NormalWeb"/>
        <w:numPr>
          <w:ilvl w:val="0"/>
          <w:numId w:val="1"/>
        </w:numPr>
        <w:spacing w:beforeAutospacing="0" w:after="240" w:afterAutospacing="0" w:line="360" w:lineRule="auto"/>
        <w:rPr>
          <w:b/>
        </w:rPr>
      </w:pPr>
      <w:r w:rsidRPr="00421AF7">
        <w:rPr>
          <w:color w:val="000222"/>
          <w:shd w:val="clear" w:color="auto" w:fill="FFFFFF"/>
        </w:rPr>
        <w:t>There was malice aforethought,</w:t>
      </w:r>
    </w:p>
    <w:p w:rsidR="00936B61" w:rsidRPr="00421AF7" w:rsidRDefault="00936B61" w:rsidP="00421AF7">
      <w:pPr>
        <w:pStyle w:val="NormalWeb"/>
        <w:numPr>
          <w:ilvl w:val="0"/>
          <w:numId w:val="1"/>
        </w:numPr>
        <w:spacing w:beforeAutospacing="0" w:after="240" w:afterAutospacing="0" w:line="360" w:lineRule="auto"/>
        <w:rPr>
          <w:b/>
        </w:rPr>
      </w:pPr>
      <w:r w:rsidRPr="00421AF7">
        <w:rPr>
          <w:color w:val="000222"/>
          <w:shd w:val="clear" w:color="auto" w:fill="FFFFFF"/>
        </w:rPr>
        <w:t>Participation of the accused.</w:t>
      </w:r>
      <w:r w:rsidRPr="00421AF7">
        <w:rPr>
          <w:b/>
        </w:rPr>
        <w:t xml:space="preserve"> </w:t>
      </w:r>
    </w:p>
    <w:p w:rsidR="00936B61" w:rsidRPr="00421AF7" w:rsidRDefault="00936B61" w:rsidP="00421AF7">
      <w:pPr>
        <w:pStyle w:val="NormalWeb"/>
        <w:spacing w:after="240" w:afterAutospacing="0" w:line="360" w:lineRule="auto"/>
        <w:rPr>
          <w:color w:val="000222"/>
          <w:shd w:val="clear" w:color="auto" w:fill="FFFFFF"/>
        </w:rPr>
      </w:pPr>
      <w:r w:rsidRPr="00421AF7">
        <w:t xml:space="preserve">There is no doubt that </w:t>
      </w:r>
      <w:proofErr w:type="spellStart"/>
      <w:r w:rsidR="00D24E70" w:rsidRPr="00421AF7">
        <w:rPr>
          <w:b/>
        </w:rPr>
        <w:t>Nakiranda</w:t>
      </w:r>
      <w:proofErr w:type="spellEnd"/>
      <w:r w:rsidR="00D24E70" w:rsidRPr="00421AF7">
        <w:t xml:space="preserve"> died, and that she was murdered. Her death was unlawful. There cannot be doubt that whoever killed her had malice aforethought. The only issue is whether the accused persons participated in her murder.</w:t>
      </w:r>
      <w:r w:rsidRPr="00421AF7">
        <w:t xml:space="preserve"> </w:t>
      </w:r>
      <w:r w:rsidR="00D24E70" w:rsidRPr="00421AF7">
        <w:t xml:space="preserve"> </w:t>
      </w:r>
    </w:p>
    <w:p w:rsidR="00936B61" w:rsidRPr="00421AF7" w:rsidRDefault="00D24E70" w:rsidP="00421AF7">
      <w:pPr>
        <w:pStyle w:val="NormalWeb"/>
        <w:spacing w:after="240" w:afterAutospacing="0" w:line="360" w:lineRule="auto"/>
        <w:rPr>
          <w:color w:val="000222"/>
          <w:shd w:val="clear" w:color="auto" w:fill="FFFFFF"/>
        </w:rPr>
      </w:pPr>
      <w:r w:rsidRPr="00421AF7">
        <w:rPr>
          <w:color w:val="000222"/>
          <w:shd w:val="clear" w:color="auto" w:fill="FFFFFF"/>
        </w:rPr>
        <w:t xml:space="preserve">All state witnesses were clear that the accused were arrested only because they were suspected to have killed the deceased. </w:t>
      </w:r>
      <w:r w:rsidR="00936B61" w:rsidRPr="00421AF7">
        <w:rPr>
          <w:color w:val="000222"/>
          <w:shd w:val="clear" w:color="auto" w:fill="FFFFFF"/>
        </w:rPr>
        <w:t xml:space="preserve"> </w:t>
      </w:r>
      <w:r w:rsidRPr="00421AF7">
        <w:rPr>
          <w:color w:val="000222"/>
          <w:shd w:val="clear" w:color="auto" w:fill="FFFFFF"/>
        </w:rPr>
        <w:t xml:space="preserve">Suspicions however strong do not amount to evidence. </w:t>
      </w:r>
    </w:p>
    <w:p w:rsidR="00936B61" w:rsidRPr="00421AF7" w:rsidRDefault="00936B61" w:rsidP="00421AF7">
      <w:pPr>
        <w:pStyle w:val="NormalWeb"/>
        <w:spacing w:after="240" w:afterAutospacing="0" w:line="360" w:lineRule="auto"/>
        <w:rPr>
          <w:bCs/>
        </w:rPr>
      </w:pPr>
      <w:r w:rsidRPr="00421AF7">
        <w:rPr>
          <w:color w:val="000222"/>
          <w:shd w:val="clear" w:color="auto" w:fill="FFFFFF"/>
        </w:rPr>
        <w:t xml:space="preserve">I did not find evidence to ground a decision to require the accused </w:t>
      </w:r>
      <w:r w:rsidR="00AB1F64" w:rsidRPr="00421AF7">
        <w:rPr>
          <w:color w:val="000222"/>
          <w:shd w:val="clear" w:color="auto" w:fill="FFFFFF"/>
        </w:rPr>
        <w:t xml:space="preserve">persons </w:t>
      </w:r>
      <w:r w:rsidRPr="00421AF7">
        <w:rPr>
          <w:color w:val="000222"/>
          <w:shd w:val="clear" w:color="auto" w:fill="FFFFFF"/>
        </w:rPr>
        <w:t xml:space="preserve">to make </w:t>
      </w:r>
      <w:r w:rsidR="00AB1F64" w:rsidRPr="00421AF7">
        <w:rPr>
          <w:color w:val="000222"/>
          <w:shd w:val="clear" w:color="auto" w:fill="FFFFFF"/>
        </w:rPr>
        <w:t>their</w:t>
      </w:r>
      <w:r w:rsidRPr="00421AF7">
        <w:rPr>
          <w:color w:val="000222"/>
          <w:shd w:val="clear" w:color="auto" w:fill="FFFFFF"/>
        </w:rPr>
        <w:t xml:space="preserve"> defence. </w:t>
      </w:r>
      <w:r w:rsidR="00D24E70" w:rsidRPr="00421AF7">
        <w:rPr>
          <w:color w:val="000222"/>
          <w:shd w:val="clear" w:color="auto" w:fill="FFFFFF"/>
        </w:rPr>
        <w:t xml:space="preserve"> </w:t>
      </w:r>
      <w:r w:rsidRPr="00421AF7">
        <w:rPr>
          <w:color w:val="000222"/>
          <w:shd w:val="clear" w:color="auto" w:fill="FFFFFF"/>
        </w:rPr>
        <w:t xml:space="preserve">I accordingly up- hold the submission of no case to answer and acquit </w:t>
      </w:r>
      <w:r w:rsidR="00AB1F64" w:rsidRPr="00421AF7">
        <w:rPr>
          <w:color w:val="000222"/>
          <w:shd w:val="clear" w:color="auto" w:fill="FFFFFF"/>
        </w:rPr>
        <w:t>each</w:t>
      </w:r>
      <w:r w:rsidRPr="00421AF7">
        <w:rPr>
          <w:color w:val="000222"/>
          <w:shd w:val="clear" w:color="auto" w:fill="FFFFFF"/>
        </w:rPr>
        <w:t xml:space="preserve"> accused of the offence of </w:t>
      </w:r>
      <w:r w:rsidR="00AB1F64" w:rsidRPr="00421AF7">
        <w:rPr>
          <w:color w:val="000222"/>
          <w:shd w:val="clear" w:color="auto" w:fill="FFFFFF"/>
        </w:rPr>
        <w:t>murder. They</w:t>
      </w:r>
      <w:r w:rsidRPr="00421AF7">
        <w:rPr>
          <w:color w:val="000222"/>
          <w:shd w:val="clear" w:color="auto" w:fill="FFFFFF"/>
        </w:rPr>
        <w:t xml:space="preserve"> be discharged forth-with.</w:t>
      </w:r>
      <w:r w:rsidRPr="00421AF7">
        <w:rPr>
          <w:b/>
          <w:color w:val="000222"/>
          <w:shd w:val="clear" w:color="auto" w:fill="FFFFFF"/>
        </w:rPr>
        <w:t xml:space="preserve">                                                     </w:t>
      </w:r>
    </w:p>
    <w:p w:rsidR="00936B61" w:rsidRPr="00421AF7" w:rsidRDefault="00936B61" w:rsidP="00421AF7">
      <w:pPr>
        <w:pStyle w:val="NormalWeb"/>
        <w:spacing w:after="240" w:afterAutospacing="0" w:line="360" w:lineRule="auto"/>
        <w:rPr>
          <w:bCs/>
        </w:rPr>
      </w:pPr>
      <w:r w:rsidRPr="00421AF7">
        <w:rPr>
          <w:bCs/>
        </w:rPr>
        <w:t>Court; ruling read in open court.</w:t>
      </w:r>
    </w:p>
    <w:p w:rsidR="00936B61" w:rsidRPr="00421AF7" w:rsidRDefault="00936B61" w:rsidP="00421AF7">
      <w:pPr>
        <w:pStyle w:val="NormalWeb"/>
        <w:spacing w:after="240" w:afterAutospacing="0" w:line="360" w:lineRule="auto"/>
        <w:rPr>
          <w:b/>
          <w:bCs/>
        </w:rPr>
      </w:pPr>
      <w:r w:rsidRPr="00421AF7">
        <w:rPr>
          <w:b/>
          <w:bCs/>
        </w:rPr>
        <w:t xml:space="preserve">Margaret </w:t>
      </w:r>
      <w:proofErr w:type="spellStart"/>
      <w:r w:rsidRPr="00421AF7">
        <w:rPr>
          <w:b/>
          <w:bCs/>
        </w:rPr>
        <w:t>Tibulya</w:t>
      </w:r>
      <w:proofErr w:type="spellEnd"/>
    </w:p>
    <w:p w:rsidR="00936B61" w:rsidRPr="00421AF7" w:rsidRDefault="00936B61" w:rsidP="00421AF7">
      <w:pPr>
        <w:pStyle w:val="NormalWeb"/>
        <w:spacing w:after="240" w:afterAutospacing="0" w:line="360" w:lineRule="auto"/>
        <w:rPr>
          <w:b/>
          <w:bCs/>
        </w:rPr>
      </w:pPr>
      <w:r w:rsidRPr="00421AF7">
        <w:rPr>
          <w:b/>
          <w:bCs/>
        </w:rPr>
        <w:t>2</w:t>
      </w:r>
      <w:r w:rsidR="00AB1F64" w:rsidRPr="00421AF7">
        <w:rPr>
          <w:b/>
          <w:bCs/>
        </w:rPr>
        <w:t>8</w:t>
      </w:r>
      <w:r w:rsidRPr="00421AF7">
        <w:rPr>
          <w:b/>
          <w:bCs/>
          <w:vertAlign w:val="superscript"/>
        </w:rPr>
        <w:t>th</w:t>
      </w:r>
      <w:r w:rsidRPr="00421AF7">
        <w:rPr>
          <w:b/>
          <w:bCs/>
        </w:rPr>
        <w:t xml:space="preserve"> April 2016</w:t>
      </w:r>
    </w:p>
    <w:p w:rsidR="00936B61" w:rsidRPr="00421AF7" w:rsidRDefault="00936B61" w:rsidP="00421AF7">
      <w:pPr>
        <w:pStyle w:val="NormalWeb"/>
        <w:spacing w:after="240" w:afterAutospacing="0" w:line="360" w:lineRule="auto"/>
        <w:rPr>
          <w:b/>
          <w:color w:val="000222"/>
          <w:shd w:val="clear" w:color="auto" w:fill="FFFFFF"/>
        </w:rPr>
      </w:pPr>
      <w:r w:rsidRPr="00421AF7">
        <w:rPr>
          <w:bCs/>
        </w:rPr>
        <w:t xml:space="preserve"> </w:t>
      </w:r>
    </w:p>
    <w:p w:rsidR="00936B61" w:rsidRPr="00421AF7" w:rsidRDefault="00936B61" w:rsidP="00421AF7">
      <w:pPr>
        <w:pStyle w:val="NormalWeb"/>
        <w:spacing w:beforeAutospacing="0" w:after="240" w:afterAutospacing="0" w:line="360" w:lineRule="auto"/>
        <w:ind w:left="720"/>
        <w:rPr>
          <w:b/>
          <w:color w:val="000222"/>
          <w:shd w:val="clear" w:color="auto" w:fill="FFFFFF"/>
        </w:rPr>
      </w:pPr>
    </w:p>
    <w:p w:rsidR="00936B61" w:rsidRPr="00421AF7" w:rsidRDefault="00936B61" w:rsidP="00421AF7">
      <w:pPr>
        <w:pStyle w:val="NormalWeb"/>
        <w:spacing w:beforeAutospacing="0" w:after="240" w:afterAutospacing="0" w:line="360" w:lineRule="auto"/>
        <w:ind w:left="720"/>
        <w:rPr>
          <w:b/>
        </w:rPr>
      </w:pPr>
    </w:p>
    <w:p w:rsidR="00936B61" w:rsidRPr="00421AF7" w:rsidRDefault="00936B61" w:rsidP="00421AF7">
      <w:pPr>
        <w:spacing w:line="360" w:lineRule="auto"/>
        <w:rPr>
          <w:rFonts w:ascii="Times New Roman" w:hAnsi="Times New Roman"/>
          <w:bCs/>
          <w:sz w:val="24"/>
          <w:szCs w:val="24"/>
        </w:rPr>
      </w:pPr>
      <w:r w:rsidRPr="00421AF7">
        <w:rPr>
          <w:rFonts w:ascii="Times New Roman" w:hAnsi="Times New Roman"/>
          <w:bCs/>
          <w:sz w:val="24"/>
          <w:szCs w:val="24"/>
        </w:rPr>
        <w:t xml:space="preserve"> </w:t>
      </w: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bCs/>
          <w:sz w:val="24"/>
          <w:szCs w:val="24"/>
        </w:rPr>
      </w:pPr>
    </w:p>
    <w:p w:rsidR="00936B61" w:rsidRPr="00421AF7" w:rsidRDefault="00936B61" w:rsidP="00421AF7">
      <w:pPr>
        <w:spacing w:line="360" w:lineRule="auto"/>
        <w:rPr>
          <w:rFonts w:ascii="Times New Roman" w:hAnsi="Times New Roman"/>
          <w:sz w:val="24"/>
          <w:szCs w:val="24"/>
        </w:rPr>
      </w:pPr>
    </w:p>
    <w:p w:rsidR="009972D2" w:rsidRPr="00421AF7" w:rsidRDefault="009972D2" w:rsidP="00421AF7">
      <w:pPr>
        <w:spacing w:line="360" w:lineRule="auto"/>
        <w:rPr>
          <w:rFonts w:ascii="Times New Roman" w:hAnsi="Times New Roman"/>
          <w:sz w:val="24"/>
          <w:szCs w:val="24"/>
        </w:rPr>
      </w:pPr>
    </w:p>
    <w:sectPr w:rsidR="009972D2" w:rsidRPr="0042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55E3"/>
    <w:multiLevelType w:val="hybridMultilevel"/>
    <w:tmpl w:val="24B23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AB95D60"/>
    <w:multiLevelType w:val="hybridMultilevel"/>
    <w:tmpl w:val="9D765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61"/>
    <w:rsid w:val="00007800"/>
    <w:rsid w:val="000A6A60"/>
    <w:rsid w:val="000B7215"/>
    <w:rsid w:val="000D37C3"/>
    <w:rsid w:val="000E70BB"/>
    <w:rsid w:val="000F497D"/>
    <w:rsid w:val="0014126A"/>
    <w:rsid w:val="00144DFF"/>
    <w:rsid w:val="001646E5"/>
    <w:rsid w:val="00192C64"/>
    <w:rsid w:val="001C7581"/>
    <w:rsid w:val="00201A1E"/>
    <w:rsid w:val="00203A09"/>
    <w:rsid w:val="00222ED6"/>
    <w:rsid w:val="00251ED1"/>
    <w:rsid w:val="00256B30"/>
    <w:rsid w:val="00286417"/>
    <w:rsid w:val="002C4013"/>
    <w:rsid w:val="002C7F5B"/>
    <w:rsid w:val="0030523F"/>
    <w:rsid w:val="003075D8"/>
    <w:rsid w:val="00320413"/>
    <w:rsid w:val="0032624E"/>
    <w:rsid w:val="003515F6"/>
    <w:rsid w:val="00352140"/>
    <w:rsid w:val="00364A4E"/>
    <w:rsid w:val="003662FF"/>
    <w:rsid w:val="00366869"/>
    <w:rsid w:val="00386F89"/>
    <w:rsid w:val="00395304"/>
    <w:rsid w:val="003D1DB7"/>
    <w:rsid w:val="003E4DC3"/>
    <w:rsid w:val="0041766A"/>
    <w:rsid w:val="00421AF7"/>
    <w:rsid w:val="00451009"/>
    <w:rsid w:val="004B0A20"/>
    <w:rsid w:val="004F0895"/>
    <w:rsid w:val="00523740"/>
    <w:rsid w:val="00524F54"/>
    <w:rsid w:val="0055148D"/>
    <w:rsid w:val="005938B1"/>
    <w:rsid w:val="005945F8"/>
    <w:rsid w:val="005A5482"/>
    <w:rsid w:val="005B7CEB"/>
    <w:rsid w:val="005F7AB5"/>
    <w:rsid w:val="00602AD6"/>
    <w:rsid w:val="006528BD"/>
    <w:rsid w:val="00666531"/>
    <w:rsid w:val="00674FF0"/>
    <w:rsid w:val="006A604A"/>
    <w:rsid w:val="006A7506"/>
    <w:rsid w:val="006B1427"/>
    <w:rsid w:val="006E4861"/>
    <w:rsid w:val="007042F1"/>
    <w:rsid w:val="00704A21"/>
    <w:rsid w:val="00755089"/>
    <w:rsid w:val="00763F18"/>
    <w:rsid w:val="00774B4E"/>
    <w:rsid w:val="0079306D"/>
    <w:rsid w:val="007A555C"/>
    <w:rsid w:val="007B633E"/>
    <w:rsid w:val="007B6F45"/>
    <w:rsid w:val="007C00CB"/>
    <w:rsid w:val="007D4272"/>
    <w:rsid w:val="007E395F"/>
    <w:rsid w:val="00810443"/>
    <w:rsid w:val="00877F19"/>
    <w:rsid w:val="00880277"/>
    <w:rsid w:val="008A02CE"/>
    <w:rsid w:val="008A7A25"/>
    <w:rsid w:val="008B54AE"/>
    <w:rsid w:val="00936B61"/>
    <w:rsid w:val="009972D2"/>
    <w:rsid w:val="009A5BF5"/>
    <w:rsid w:val="00A154DA"/>
    <w:rsid w:val="00A25022"/>
    <w:rsid w:val="00A71AE1"/>
    <w:rsid w:val="00A93458"/>
    <w:rsid w:val="00AA1777"/>
    <w:rsid w:val="00AB1F64"/>
    <w:rsid w:val="00B41697"/>
    <w:rsid w:val="00B8689D"/>
    <w:rsid w:val="00BA0EC1"/>
    <w:rsid w:val="00BE6CAC"/>
    <w:rsid w:val="00C128F9"/>
    <w:rsid w:val="00C12D60"/>
    <w:rsid w:val="00C55FED"/>
    <w:rsid w:val="00C754BA"/>
    <w:rsid w:val="00C85D1B"/>
    <w:rsid w:val="00CC628A"/>
    <w:rsid w:val="00CD1B45"/>
    <w:rsid w:val="00CD38B4"/>
    <w:rsid w:val="00CD57F6"/>
    <w:rsid w:val="00D17118"/>
    <w:rsid w:val="00D22540"/>
    <w:rsid w:val="00D23996"/>
    <w:rsid w:val="00D24E70"/>
    <w:rsid w:val="00D32DD3"/>
    <w:rsid w:val="00D34CAA"/>
    <w:rsid w:val="00D61DDF"/>
    <w:rsid w:val="00D94181"/>
    <w:rsid w:val="00D97302"/>
    <w:rsid w:val="00DF7DCB"/>
    <w:rsid w:val="00E03818"/>
    <w:rsid w:val="00E20FBE"/>
    <w:rsid w:val="00E72933"/>
    <w:rsid w:val="00E93A52"/>
    <w:rsid w:val="00E96A4C"/>
    <w:rsid w:val="00EA1E64"/>
    <w:rsid w:val="00ED7A84"/>
    <w:rsid w:val="00F04B61"/>
    <w:rsid w:val="00F3158D"/>
    <w:rsid w:val="00F40B9D"/>
    <w:rsid w:val="00F55837"/>
    <w:rsid w:val="00FA57B5"/>
    <w:rsid w:val="00FC5E1C"/>
    <w:rsid w:val="00FE5986"/>
    <w:rsid w:val="00FF3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61"/>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B61"/>
    <w:pPr>
      <w:spacing w:before="100" w:beforeAutospacing="1" w:after="100" w:afterAutospacing="1" w:line="240" w:lineRule="auto"/>
    </w:pPr>
    <w:rPr>
      <w:rFonts w:ascii="Times New Roman" w:eastAsia="Times New Roman" w:hAnsi="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61"/>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B61"/>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dcterms:created xsi:type="dcterms:W3CDTF">2016-08-25T09:47:00Z</dcterms:created>
  <dcterms:modified xsi:type="dcterms:W3CDTF">2016-08-25T09:47:00Z</dcterms:modified>
</cp:coreProperties>
</file>