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E0" w:rsidRPr="00DB0380" w:rsidRDefault="00BF16E0" w:rsidP="00DB0380">
      <w:pPr>
        <w:spacing w:line="360" w:lineRule="auto"/>
        <w:jc w:val="center"/>
        <w:rPr>
          <w:b/>
          <w:sz w:val="28"/>
          <w:szCs w:val="28"/>
          <w:u w:val="single"/>
        </w:rPr>
      </w:pPr>
      <w:r w:rsidRPr="00DB0380">
        <w:rPr>
          <w:b/>
          <w:sz w:val="28"/>
          <w:szCs w:val="28"/>
          <w:u w:val="single"/>
        </w:rPr>
        <w:t>THE REPUBLIC OF UGANDA</w:t>
      </w:r>
    </w:p>
    <w:p w:rsidR="00BF16E0" w:rsidRPr="00DB0380" w:rsidRDefault="00BF16E0" w:rsidP="00DB0380">
      <w:pPr>
        <w:spacing w:line="360" w:lineRule="auto"/>
        <w:jc w:val="center"/>
        <w:rPr>
          <w:b/>
          <w:sz w:val="28"/>
          <w:szCs w:val="28"/>
          <w:u w:val="single"/>
        </w:rPr>
      </w:pPr>
      <w:r w:rsidRPr="00DB0380">
        <w:rPr>
          <w:b/>
          <w:sz w:val="28"/>
          <w:szCs w:val="28"/>
          <w:u w:val="single"/>
        </w:rPr>
        <w:t>IN THE HIGH COURT OF UGANDA AT KAMPALA</w:t>
      </w:r>
    </w:p>
    <w:p w:rsidR="00BF16E0" w:rsidRPr="00DB0380" w:rsidRDefault="00BF16E0" w:rsidP="00DB0380">
      <w:pPr>
        <w:pStyle w:val="NormalWeb"/>
        <w:spacing w:line="360" w:lineRule="auto"/>
        <w:jc w:val="center"/>
        <w:rPr>
          <w:b/>
          <w:bCs/>
          <w:sz w:val="28"/>
          <w:szCs w:val="28"/>
        </w:rPr>
      </w:pPr>
      <w:r w:rsidRPr="00DB0380">
        <w:rPr>
          <w:b/>
          <w:bCs/>
          <w:sz w:val="28"/>
          <w:szCs w:val="28"/>
        </w:rPr>
        <w:t>CRIMINAL MISCELLANEOUS APPLICATION NO. 13 OF 2013</w:t>
      </w:r>
    </w:p>
    <w:p w:rsidR="00BF16E0" w:rsidRPr="00DB0380" w:rsidRDefault="00BF16E0" w:rsidP="00DB0380">
      <w:pPr>
        <w:pStyle w:val="NormalWeb"/>
        <w:spacing w:line="360" w:lineRule="auto"/>
        <w:jc w:val="center"/>
        <w:rPr>
          <w:sz w:val="28"/>
          <w:szCs w:val="28"/>
        </w:rPr>
      </w:pPr>
    </w:p>
    <w:p w:rsidR="00BF16E0" w:rsidRPr="00DB0380" w:rsidRDefault="00BF16E0" w:rsidP="00DB0380">
      <w:pPr>
        <w:pStyle w:val="NormalWeb"/>
        <w:spacing w:line="360" w:lineRule="auto"/>
        <w:rPr>
          <w:b/>
          <w:bCs/>
          <w:sz w:val="28"/>
          <w:szCs w:val="28"/>
        </w:rPr>
      </w:pPr>
      <w:r w:rsidRPr="00DB0380">
        <w:rPr>
          <w:b/>
          <w:bCs/>
          <w:sz w:val="28"/>
          <w:szCs w:val="28"/>
        </w:rPr>
        <w:t>SENTONGO STANLEY &amp; 4 OTHERS ...........</w:t>
      </w:r>
      <w:r w:rsidR="00DB0380">
        <w:rPr>
          <w:b/>
          <w:bCs/>
          <w:sz w:val="28"/>
          <w:szCs w:val="28"/>
        </w:rPr>
        <w:t>............................</w:t>
      </w:r>
      <w:r w:rsidRPr="00DB0380">
        <w:rPr>
          <w:b/>
          <w:bCs/>
          <w:sz w:val="28"/>
          <w:szCs w:val="28"/>
        </w:rPr>
        <w:t xml:space="preserve">APPLICANTS </w:t>
      </w:r>
    </w:p>
    <w:p w:rsidR="00BF16E0" w:rsidRPr="00DB0380" w:rsidRDefault="00BF16E0" w:rsidP="00DB0380">
      <w:pPr>
        <w:pStyle w:val="NormalWeb"/>
        <w:spacing w:line="360" w:lineRule="auto"/>
        <w:jc w:val="center"/>
        <w:rPr>
          <w:b/>
          <w:bCs/>
          <w:sz w:val="28"/>
          <w:szCs w:val="28"/>
        </w:rPr>
      </w:pPr>
      <w:r w:rsidRPr="00DB0380">
        <w:rPr>
          <w:b/>
          <w:bCs/>
          <w:sz w:val="28"/>
          <w:szCs w:val="28"/>
        </w:rPr>
        <w:t>VERSUS</w:t>
      </w:r>
    </w:p>
    <w:p w:rsidR="00BF16E0" w:rsidRPr="00DB0380" w:rsidRDefault="00BF16E0" w:rsidP="00DB0380">
      <w:pPr>
        <w:pStyle w:val="NormalWeb"/>
        <w:spacing w:line="360" w:lineRule="auto"/>
        <w:jc w:val="center"/>
        <w:rPr>
          <w:sz w:val="28"/>
          <w:szCs w:val="28"/>
        </w:rPr>
      </w:pPr>
      <w:r w:rsidRPr="00DB0380">
        <w:rPr>
          <w:b/>
          <w:bCs/>
          <w:sz w:val="28"/>
          <w:szCs w:val="28"/>
        </w:rPr>
        <w:t>UGANDA …………………………………….........</w:t>
      </w:r>
      <w:r w:rsidR="00DB0380">
        <w:rPr>
          <w:b/>
          <w:bCs/>
          <w:sz w:val="28"/>
          <w:szCs w:val="28"/>
        </w:rPr>
        <w:t>......................</w:t>
      </w:r>
      <w:r w:rsidRPr="00DB0380">
        <w:rPr>
          <w:b/>
          <w:bCs/>
          <w:sz w:val="28"/>
          <w:szCs w:val="28"/>
        </w:rPr>
        <w:t>RESPONDENT</w:t>
      </w:r>
    </w:p>
    <w:p w:rsidR="000C48DD" w:rsidRPr="00DB0380" w:rsidRDefault="000C48DD" w:rsidP="00DB0380">
      <w:pPr>
        <w:spacing w:line="360" w:lineRule="auto"/>
        <w:jc w:val="center"/>
        <w:rPr>
          <w:b/>
          <w:sz w:val="28"/>
          <w:szCs w:val="28"/>
          <w:u w:val="single"/>
        </w:rPr>
      </w:pPr>
      <w:r w:rsidRPr="00DB0380">
        <w:rPr>
          <w:b/>
          <w:sz w:val="28"/>
          <w:szCs w:val="28"/>
          <w:u w:val="single"/>
        </w:rPr>
        <w:t>RULING</w:t>
      </w:r>
    </w:p>
    <w:p w:rsidR="000C48DD" w:rsidRPr="00DB0380" w:rsidRDefault="000C48DD" w:rsidP="00DB0380">
      <w:pPr>
        <w:spacing w:line="360" w:lineRule="auto"/>
        <w:jc w:val="both"/>
        <w:rPr>
          <w:sz w:val="28"/>
          <w:szCs w:val="28"/>
          <w:u w:val="single"/>
        </w:rPr>
      </w:pPr>
    </w:p>
    <w:p w:rsidR="00F6089A" w:rsidRPr="00DB0380" w:rsidRDefault="00F6089A" w:rsidP="00DB0380">
      <w:pPr>
        <w:spacing w:line="360" w:lineRule="auto"/>
        <w:jc w:val="both"/>
        <w:rPr>
          <w:sz w:val="28"/>
          <w:szCs w:val="28"/>
        </w:rPr>
      </w:pPr>
      <w:r w:rsidRPr="00DB0380">
        <w:rPr>
          <w:sz w:val="28"/>
          <w:szCs w:val="28"/>
        </w:rPr>
        <w:t>On 20</w:t>
      </w:r>
      <w:r w:rsidRPr="00DB0380">
        <w:rPr>
          <w:sz w:val="28"/>
          <w:szCs w:val="28"/>
          <w:vertAlign w:val="superscript"/>
        </w:rPr>
        <w:t>th</w:t>
      </w:r>
      <w:r w:rsidRPr="00DB0380">
        <w:rPr>
          <w:sz w:val="28"/>
          <w:szCs w:val="28"/>
        </w:rPr>
        <w:t xml:space="preserve"> </w:t>
      </w:r>
      <w:r w:rsidR="004C462B" w:rsidRPr="00DB0380">
        <w:rPr>
          <w:sz w:val="28"/>
          <w:szCs w:val="28"/>
        </w:rPr>
        <w:t xml:space="preserve">August 2012 </w:t>
      </w:r>
      <w:r w:rsidR="00E44700" w:rsidRPr="00DB0380">
        <w:rPr>
          <w:sz w:val="28"/>
          <w:szCs w:val="28"/>
        </w:rPr>
        <w:t xml:space="preserve">Messrs </w:t>
      </w:r>
      <w:r w:rsidR="00CA02CE" w:rsidRPr="00DB0380">
        <w:rPr>
          <w:sz w:val="28"/>
          <w:szCs w:val="28"/>
        </w:rPr>
        <w:t>Stanley Sentongo</w:t>
      </w:r>
      <w:r w:rsidR="00E44700" w:rsidRPr="00DB0380">
        <w:rPr>
          <w:sz w:val="28"/>
          <w:szCs w:val="28"/>
        </w:rPr>
        <w:t xml:space="preserve">, </w:t>
      </w:r>
      <w:r w:rsidR="00CA02CE" w:rsidRPr="00DB0380">
        <w:rPr>
          <w:sz w:val="28"/>
          <w:szCs w:val="28"/>
        </w:rPr>
        <w:t>Edrisa Senjobe Serunga</w:t>
      </w:r>
      <w:r w:rsidR="00E44700" w:rsidRPr="00DB0380">
        <w:rPr>
          <w:sz w:val="28"/>
          <w:szCs w:val="28"/>
        </w:rPr>
        <w:t xml:space="preserve">, </w:t>
      </w:r>
      <w:r w:rsidR="00CA02CE" w:rsidRPr="00DB0380">
        <w:rPr>
          <w:sz w:val="28"/>
          <w:szCs w:val="28"/>
        </w:rPr>
        <w:t>Enock Kaggwa</w:t>
      </w:r>
      <w:r w:rsidR="00E44700" w:rsidRPr="00DB0380">
        <w:rPr>
          <w:sz w:val="28"/>
          <w:szCs w:val="28"/>
        </w:rPr>
        <w:t xml:space="preserve">, </w:t>
      </w:r>
      <w:r w:rsidR="00CA02CE" w:rsidRPr="00DB0380">
        <w:rPr>
          <w:sz w:val="28"/>
          <w:szCs w:val="28"/>
        </w:rPr>
        <w:t>Robert Wasswa</w:t>
      </w:r>
      <w:r w:rsidR="00E44700" w:rsidRPr="00DB0380">
        <w:rPr>
          <w:sz w:val="28"/>
          <w:szCs w:val="28"/>
        </w:rPr>
        <w:t xml:space="preserve"> and </w:t>
      </w:r>
      <w:r w:rsidR="00CA02CE" w:rsidRPr="00DB0380">
        <w:rPr>
          <w:sz w:val="28"/>
          <w:szCs w:val="28"/>
        </w:rPr>
        <w:t>Athaenathio Mujabi</w:t>
      </w:r>
      <w:r w:rsidR="004C462B" w:rsidRPr="00DB0380">
        <w:rPr>
          <w:sz w:val="28"/>
          <w:szCs w:val="28"/>
        </w:rPr>
        <w:t xml:space="preserve"> were arrested and subsequently charged with the offence of </w:t>
      </w:r>
      <w:r w:rsidR="00E44700" w:rsidRPr="00DB0380">
        <w:rPr>
          <w:sz w:val="28"/>
          <w:szCs w:val="28"/>
        </w:rPr>
        <w:t>murder contrary to sections 188 and 189 of the Penal Code Act</w:t>
      </w:r>
      <w:r w:rsidR="004C462B" w:rsidRPr="00DB0380">
        <w:rPr>
          <w:sz w:val="28"/>
          <w:szCs w:val="28"/>
        </w:rPr>
        <w:t xml:space="preserve">.  </w:t>
      </w:r>
      <w:r w:rsidR="00E44700" w:rsidRPr="00DB0380">
        <w:rPr>
          <w:sz w:val="28"/>
          <w:szCs w:val="28"/>
        </w:rPr>
        <w:t xml:space="preserve">They were </w:t>
      </w:r>
      <w:r w:rsidR="004C462B" w:rsidRPr="00DB0380">
        <w:rPr>
          <w:sz w:val="28"/>
          <w:szCs w:val="28"/>
        </w:rPr>
        <w:t xml:space="preserve">remanded to </w:t>
      </w:r>
      <w:r w:rsidRPr="00DB0380">
        <w:rPr>
          <w:sz w:val="28"/>
          <w:szCs w:val="28"/>
        </w:rPr>
        <w:t xml:space="preserve">Nakasongola </w:t>
      </w:r>
      <w:r w:rsidR="004C462B" w:rsidRPr="00DB0380">
        <w:rPr>
          <w:sz w:val="28"/>
          <w:szCs w:val="28"/>
        </w:rPr>
        <w:t xml:space="preserve">prison and, to date, have not been </w:t>
      </w:r>
      <w:r w:rsidR="00E44700" w:rsidRPr="00DB0380">
        <w:rPr>
          <w:sz w:val="28"/>
          <w:szCs w:val="28"/>
        </w:rPr>
        <w:t>commit</w:t>
      </w:r>
      <w:r w:rsidR="004C462B" w:rsidRPr="00DB0380">
        <w:rPr>
          <w:sz w:val="28"/>
          <w:szCs w:val="28"/>
        </w:rPr>
        <w:t>ted to the High Court for trial</w:t>
      </w:r>
      <w:r w:rsidR="00E44700" w:rsidRPr="00DB0380">
        <w:rPr>
          <w:sz w:val="28"/>
          <w:szCs w:val="28"/>
        </w:rPr>
        <w:t xml:space="preserve">.  All 5 accused persons have since filed this </w:t>
      </w:r>
      <w:r w:rsidR="000C48DD" w:rsidRPr="00DB0380">
        <w:rPr>
          <w:sz w:val="28"/>
          <w:szCs w:val="28"/>
        </w:rPr>
        <w:t xml:space="preserve">application for bail </w:t>
      </w:r>
      <w:r w:rsidR="00E44700" w:rsidRPr="00DB0380">
        <w:rPr>
          <w:sz w:val="28"/>
          <w:szCs w:val="28"/>
        </w:rPr>
        <w:t xml:space="preserve">pending trial.  </w:t>
      </w:r>
      <w:r w:rsidRPr="00DB0380">
        <w:rPr>
          <w:sz w:val="28"/>
          <w:szCs w:val="28"/>
        </w:rPr>
        <w:t xml:space="preserve">The application </w:t>
      </w:r>
      <w:r w:rsidR="000C48DD" w:rsidRPr="00DB0380">
        <w:rPr>
          <w:sz w:val="28"/>
          <w:szCs w:val="28"/>
        </w:rPr>
        <w:t xml:space="preserve">is supported by affidavits deponed by </w:t>
      </w:r>
      <w:r w:rsidR="00E44700" w:rsidRPr="00DB0380">
        <w:rPr>
          <w:sz w:val="28"/>
          <w:szCs w:val="28"/>
        </w:rPr>
        <w:t xml:space="preserve">all </w:t>
      </w:r>
      <w:r w:rsidR="000C48DD" w:rsidRPr="00DB0380">
        <w:rPr>
          <w:sz w:val="28"/>
          <w:szCs w:val="28"/>
        </w:rPr>
        <w:t>the applicants.  At the hearing of th</w:t>
      </w:r>
      <w:r w:rsidRPr="00DB0380">
        <w:rPr>
          <w:sz w:val="28"/>
          <w:szCs w:val="28"/>
        </w:rPr>
        <w:t>e</w:t>
      </w:r>
      <w:r w:rsidR="000C48DD" w:rsidRPr="00DB0380">
        <w:rPr>
          <w:sz w:val="28"/>
          <w:szCs w:val="28"/>
        </w:rPr>
        <w:t xml:space="preserve"> application, M</w:t>
      </w:r>
      <w:r w:rsidRPr="00DB0380">
        <w:rPr>
          <w:sz w:val="28"/>
          <w:szCs w:val="28"/>
        </w:rPr>
        <w:t>r</w:t>
      </w:r>
      <w:r w:rsidR="000C48DD" w:rsidRPr="00DB0380">
        <w:rPr>
          <w:sz w:val="28"/>
          <w:szCs w:val="28"/>
        </w:rPr>
        <w:t xml:space="preserve">. </w:t>
      </w:r>
      <w:r w:rsidRPr="00DB0380">
        <w:rPr>
          <w:sz w:val="28"/>
          <w:szCs w:val="28"/>
        </w:rPr>
        <w:t xml:space="preserve">Moses Ingura appeared for the applicants, while Ms. Adrine Asingwire represented the respondent.  </w:t>
      </w:r>
    </w:p>
    <w:p w:rsidR="00F6089A" w:rsidRPr="00DB0380" w:rsidRDefault="00F6089A" w:rsidP="00DB0380">
      <w:pPr>
        <w:spacing w:line="360" w:lineRule="auto"/>
        <w:jc w:val="both"/>
        <w:rPr>
          <w:sz w:val="28"/>
          <w:szCs w:val="28"/>
        </w:rPr>
      </w:pPr>
    </w:p>
    <w:p w:rsidR="003869E9" w:rsidRPr="00DB0380" w:rsidRDefault="00F6089A" w:rsidP="00DB0380">
      <w:pPr>
        <w:spacing w:line="360" w:lineRule="auto"/>
        <w:jc w:val="both"/>
        <w:rPr>
          <w:sz w:val="28"/>
          <w:szCs w:val="28"/>
          <w:highlight w:val="yellow"/>
        </w:rPr>
      </w:pPr>
      <w:r w:rsidRPr="00DB0380">
        <w:rPr>
          <w:sz w:val="28"/>
          <w:szCs w:val="28"/>
        </w:rPr>
        <w:t xml:space="preserve">The crux of Mr. Ingura’s argument was that all 5 applicants had been on remand for 180 days and were therefore entitled to be released on bail, the only subsisting issue before this court being the conditions that would pertain to the grant of bail.  Counsel presented 2 sureties for each applicant and argued that each applicant was </w:t>
      </w:r>
      <w:r w:rsidRPr="00DB0380">
        <w:rPr>
          <w:sz w:val="28"/>
          <w:szCs w:val="28"/>
        </w:rPr>
        <w:lastRenderedPageBreak/>
        <w:t xml:space="preserve">a responsible citizen </w:t>
      </w:r>
      <w:r w:rsidR="003869E9" w:rsidRPr="00DB0380">
        <w:rPr>
          <w:sz w:val="28"/>
          <w:szCs w:val="28"/>
        </w:rPr>
        <w:t xml:space="preserve">with a fixed place of abode, family commitments and sizeable business/ commercial interests and, therefore, should </w:t>
      </w:r>
      <w:r w:rsidRPr="00DB0380">
        <w:rPr>
          <w:sz w:val="28"/>
          <w:szCs w:val="28"/>
        </w:rPr>
        <w:t xml:space="preserve">be granted lenient bail terms.  </w:t>
      </w:r>
      <w:r w:rsidR="003869E9" w:rsidRPr="00DB0380">
        <w:rPr>
          <w:sz w:val="28"/>
          <w:szCs w:val="28"/>
        </w:rPr>
        <w:t xml:space="preserve">He cited the cases of </w:t>
      </w:r>
      <w:r w:rsidR="003869E9" w:rsidRPr="00DB0380">
        <w:rPr>
          <w:b/>
          <w:sz w:val="28"/>
          <w:szCs w:val="28"/>
          <w:u w:val="single"/>
        </w:rPr>
        <w:t>Uganda vs Kiiza Besigye Const. Ref. No. 20 of 2005</w:t>
      </w:r>
      <w:r w:rsidR="003869E9" w:rsidRPr="00DB0380">
        <w:rPr>
          <w:b/>
          <w:sz w:val="28"/>
          <w:szCs w:val="28"/>
        </w:rPr>
        <w:t xml:space="preserve"> </w:t>
      </w:r>
      <w:r w:rsidR="003869E9" w:rsidRPr="00DB0380">
        <w:rPr>
          <w:sz w:val="28"/>
          <w:szCs w:val="28"/>
        </w:rPr>
        <w:t xml:space="preserve">and </w:t>
      </w:r>
      <w:r w:rsidR="00960C69" w:rsidRPr="00DB0380">
        <w:rPr>
          <w:b/>
          <w:sz w:val="28"/>
          <w:szCs w:val="28"/>
          <w:u w:val="single"/>
        </w:rPr>
        <w:t>Godi H. Akbar vs Uganda Misc. Applic. No. 20 of 2009</w:t>
      </w:r>
      <w:r w:rsidR="003869E9" w:rsidRPr="00DB0380">
        <w:rPr>
          <w:sz w:val="28"/>
          <w:szCs w:val="28"/>
        </w:rPr>
        <w:t xml:space="preserve"> </w:t>
      </w:r>
      <w:r w:rsidR="00960C69" w:rsidRPr="00DB0380">
        <w:rPr>
          <w:sz w:val="28"/>
          <w:szCs w:val="28"/>
        </w:rPr>
        <w:t>to</w:t>
      </w:r>
      <w:r w:rsidR="003869E9" w:rsidRPr="00DB0380">
        <w:rPr>
          <w:sz w:val="28"/>
          <w:szCs w:val="28"/>
        </w:rPr>
        <w:t xml:space="preserve"> buttress his contention that bail in the present circumstances was mandatory and the only discretion this court had was with regard to the terms thereof.  </w:t>
      </w:r>
    </w:p>
    <w:p w:rsidR="003869E9" w:rsidRPr="00DB0380" w:rsidRDefault="003869E9" w:rsidP="00DB0380">
      <w:pPr>
        <w:spacing w:line="360" w:lineRule="auto"/>
        <w:jc w:val="both"/>
        <w:rPr>
          <w:sz w:val="28"/>
          <w:szCs w:val="28"/>
        </w:rPr>
      </w:pPr>
    </w:p>
    <w:p w:rsidR="000C48DD" w:rsidRPr="00DB0380" w:rsidRDefault="00F6089A" w:rsidP="00DB0380">
      <w:pPr>
        <w:spacing w:line="360" w:lineRule="auto"/>
        <w:jc w:val="both"/>
        <w:rPr>
          <w:sz w:val="28"/>
          <w:szCs w:val="28"/>
        </w:rPr>
      </w:pPr>
      <w:r w:rsidRPr="00DB0380">
        <w:rPr>
          <w:sz w:val="28"/>
          <w:szCs w:val="28"/>
        </w:rPr>
        <w:t>Ms. Asingwire</w:t>
      </w:r>
      <w:r w:rsidR="003869E9" w:rsidRPr="00DB0380">
        <w:rPr>
          <w:sz w:val="28"/>
          <w:szCs w:val="28"/>
        </w:rPr>
        <w:t xml:space="preserve">, on the other hand, </w:t>
      </w:r>
      <w:r w:rsidRPr="00DB0380">
        <w:rPr>
          <w:sz w:val="28"/>
          <w:szCs w:val="28"/>
        </w:rPr>
        <w:t xml:space="preserve">contended that though the applicants were entitled to be released on bail, stringent terms should be attached to such grant of bail given that </w:t>
      </w:r>
      <w:r w:rsidR="003869E9" w:rsidRPr="00DB0380">
        <w:rPr>
          <w:sz w:val="28"/>
          <w:szCs w:val="28"/>
        </w:rPr>
        <w:t xml:space="preserve">the credibility of the sureties presented was, in her opinion, questionable.  </w:t>
      </w:r>
    </w:p>
    <w:p w:rsidR="00D611E2" w:rsidRPr="00DB0380" w:rsidRDefault="00D611E2" w:rsidP="00DB0380">
      <w:pPr>
        <w:spacing w:line="360" w:lineRule="auto"/>
        <w:jc w:val="both"/>
        <w:rPr>
          <w:sz w:val="28"/>
          <w:szCs w:val="28"/>
        </w:rPr>
      </w:pPr>
    </w:p>
    <w:p w:rsidR="00E44700" w:rsidRPr="00DB0380" w:rsidRDefault="00E44700" w:rsidP="00DB0380">
      <w:pPr>
        <w:spacing w:line="360" w:lineRule="auto"/>
        <w:jc w:val="both"/>
        <w:rPr>
          <w:sz w:val="28"/>
          <w:szCs w:val="28"/>
        </w:rPr>
      </w:pPr>
      <w:r w:rsidRPr="00DB0380">
        <w:rPr>
          <w:sz w:val="28"/>
          <w:szCs w:val="28"/>
        </w:rPr>
        <w:t>Article 23(6)</w:t>
      </w:r>
      <w:r w:rsidR="003869E9" w:rsidRPr="00DB0380">
        <w:rPr>
          <w:sz w:val="28"/>
          <w:szCs w:val="28"/>
        </w:rPr>
        <w:t>(c)</w:t>
      </w:r>
      <w:r w:rsidRPr="00DB0380">
        <w:rPr>
          <w:sz w:val="28"/>
          <w:szCs w:val="28"/>
        </w:rPr>
        <w:t xml:space="preserve"> of the Constitution (as amended) provides as follows on bail:</w:t>
      </w:r>
    </w:p>
    <w:p w:rsidR="00E44700" w:rsidRPr="00DB0380" w:rsidRDefault="00E44700" w:rsidP="00DB0380">
      <w:pPr>
        <w:spacing w:line="360" w:lineRule="auto"/>
        <w:jc w:val="both"/>
        <w:rPr>
          <w:b/>
          <w:sz w:val="28"/>
          <w:szCs w:val="28"/>
        </w:rPr>
      </w:pPr>
      <w:r w:rsidRPr="00DB0380">
        <w:rPr>
          <w:sz w:val="28"/>
          <w:szCs w:val="28"/>
        </w:rPr>
        <w:tab/>
        <w:t>“</w:t>
      </w:r>
      <w:r w:rsidRPr="00DB0380">
        <w:rPr>
          <w:b/>
          <w:sz w:val="28"/>
          <w:szCs w:val="28"/>
        </w:rPr>
        <w:t>Where a person is arrested in respect of a criminal offence:-</w:t>
      </w:r>
    </w:p>
    <w:p w:rsidR="00E44700" w:rsidRPr="00DB0380" w:rsidRDefault="00043DC5" w:rsidP="00DB0380">
      <w:pPr>
        <w:pStyle w:val="ListParagraph"/>
        <w:numPr>
          <w:ilvl w:val="0"/>
          <w:numId w:val="4"/>
        </w:numPr>
        <w:spacing w:line="360" w:lineRule="auto"/>
        <w:jc w:val="both"/>
        <w:rPr>
          <w:b/>
          <w:sz w:val="28"/>
          <w:szCs w:val="28"/>
        </w:rPr>
      </w:pPr>
      <w:r w:rsidRPr="00DB0380">
        <w:rPr>
          <w:b/>
          <w:sz w:val="28"/>
          <w:szCs w:val="28"/>
        </w:rPr>
        <w:t>…</w:t>
      </w:r>
    </w:p>
    <w:p w:rsidR="00043DC5" w:rsidRPr="00DB0380" w:rsidRDefault="00043DC5" w:rsidP="00DB0380">
      <w:pPr>
        <w:pStyle w:val="ListParagraph"/>
        <w:numPr>
          <w:ilvl w:val="0"/>
          <w:numId w:val="4"/>
        </w:numPr>
        <w:spacing w:line="360" w:lineRule="auto"/>
        <w:jc w:val="both"/>
        <w:rPr>
          <w:b/>
          <w:sz w:val="28"/>
          <w:szCs w:val="28"/>
        </w:rPr>
      </w:pPr>
      <w:r w:rsidRPr="00DB0380">
        <w:rPr>
          <w:b/>
          <w:sz w:val="28"/>
          <w:szCs w:val="28"/>
        </w:rPr>
        <w:t>…</w:t>
      </w:r>
    </w:p>
    <w:p w:rsidR="00E44700" w:rsidRPr="00DB0380" w:rsidRDefault="00E44700" w:rsidP="00DB0380">
      <w:pPr>
        <w:pStyle w:val="ListParagraph"/>
        <w:numPr>
          <w:ilvl w:val="0"/>
          <w:numId w:val="4"/>
        </w:numPr>
        <w:spacing w:line="360" w:lineRule="auto"/>
        <w:jc w:val="both"/>
        <w:rPr>
          <w:sz w:val="28"/>
          <w:szCs w:val="28"/>
        </w:rPr>
      </w:pPr>
      <w:r w:rsidRPr="00DB0380">
        <w:rPr>
          <w:b/>
          <w:sz w:val="28"/>
          <w:szCs w:val="28"/>
        </w:rPr>
        <w:t>In the case of an offence triable only by the High Court, if that person has been remanded in custody for one hundred and eighty days before the case is committed to the High Court, that person shall be released on bail on such conditions as the court considers reasonable</w:t>
      </w:r>
      <w:r w:rsidRPr="00DB0380">
        <w:rPr>
          <w:sz w:val="28"/>
          <w:szCs w:val="28"/>
        </w:rPr>
        <w:t>.”</w:t>
      </w:r>
    </w:p>
    <w:p w:rsidR="00E44700" w:rsidRPr="00DB0380" w:rsidRDefault="00E44700" w:rsidP="00DB0380">
      <w:pPr>
        <w:spacing w:line="360" w:lineRule="auto"/>
        <w:jc w:val="both"/>
        <w:rPr>
          <w:sz w:val="28"/>
          <w:szCs w:val="28"/>
        </w:rPr>
      </w:pPr>
    </w:p>
    <w:p w:rsidR="00CE0859" w:rsidRPr="00DB0380" w:rsidRDefault="004C462B" w:rsidP="00DB0380">
      <w:pPr>
        <w:spacing w:line="360" w:lineRule="auto"/>
        <w:jc w:val="both"/>
        <w:rPr>
          <w:sz w:val="28"/>
          <w:szCs w:val="28"/>
        </w:rPr>
      </w:pPr>
      <w:r w:rsidRPr="00DB0380">
        <w:rPr>
          <w:sz w:val="28"/>
          <w:szCs w:val="28"/>
        </w:rPr>
        <w:t>Section 14(1) of the Trial on Indictment Act (TIA), Cap. 23 mandates the High Court to release an accused person on bail</w:t>
      </w:r>
      <w:r w:rsidR="00CE0859" w:rsidRPr="00DB0380">
        <w:rPr>
          <w:sz w:val="28"/>
          <w:szCs w:val="28"/>
        </w:rPr>
        <w:t xml:space="preserve"> ‘</w:t>
      </w:r>
      <w:r w:rsidR="00CE0859" w:rsidRPr="00DB0380">
        <w:rPr>
          <w:b/>
          <w:sz w:val="28"/>
          <w:szCs w:val="28"/>
        </w:rPr>
        <w:t>on taking from him or her a recognizance consisting of a bond, with or without sureties, for such amount as is reasonable in the circumstances of the case, to appear before the court on such date and at such time as is named in the bond.</w:t>
      </w:r>
      <w:r w:rsidR="00CE0859" w:rsidRPr="00DB0380">
        <w:rPr>
          <w:sz w:val="28"/>
          <w:szCs w:val="28"/>
        </w:rPr>
        <w:t>’</w:t>
      </w:r>
    </w:p>
    <w:p w:rsidR="000761C8" w:rsidRPr="00DB0380" w:rsidRDefault="000761C8" w:rsidP="00DB0380">
      <w:pPr>
        <w:spacing w:line="360" w:lineRule="auto"/>
        <w:jc w:val="both"/>
        <w:rPr>
          <w:sz w:val="28"/>
          <w:szCs w:val="28"/>
        </w:rPr>
      </w:pPr>
    </w:p>
    <w:p w:rsidR="000761C8" w:rsidRPr="00DB0380" w:rsidRDefault="000761C8" w:rsidP="00DB0380">
      <w:pPr>
        <w:spacing w:line="360" w:lineRule="auto"/>
        <w:jc w:val="both"/>
        <w:rPr>
          <w:sz w:val="28"/>
          <w:szCs w:val="28"/>
        </w:rPr>
      </w:pPr>
      <w:r w:rsidRPr="00DB0380">
        <w:rPr>
          <w:sz w:val="28"/>
          <w:szCs w:val="28"/>
        </w:rPr>
        <w:t>Section 17 of the TIA, in turn, provides:</w:t>
      </w:r>
    </w:p>
    <w:p w:rsidR="000761C8" w:rsidRPr="00DB0380" w:rsidRDefault="000761C8" w:rsidP="00DB0380">
      <w:pPr>
        <w:spacing w:line="360" w:lineRule="auto"/>
        <w:ind w:left="720"/>
        <w:jc w:val="both"/>
        <w:rPr>
          <w:b/>
          <w:sz w:val="28"/>
          <w:szCs w:val="28"/>
        </w:rPr>
      </w:pPr>
      <w:r w:rsidRPr="00DB0380">
        <w:rPr>
          <w:sz w:val="28"/>
          <w:szCs w:val="28"/>
        </w:rPr>
        <w:t>“</w:t>
      </w:r>
      <w:r w:rsidRPr="00DB0380">
        <w:rPr>
          <w:b/>
          <w:sz w:val="28"/>
          <w:szCs w:val="28"/>
        </w:rPr>
        <w:t>If, through mistake, fraud or otherwise, insufficient sureties have been accepted, or if they afterwards become insufficient, the High Court may issue a warrant of arrest directing that the person released on bail</w:t>
      </w:r>
      <w:r w:rsidR="0098524F" w:rsidRPr="00DB0380">
        <w:rPr>
          <w:b/>
          <w:sz w:val="28"/>
          <w:szCs w:val="28"/>
        </w:rPr>
        <w:t xml:space="preserve"> be brought before it and may order him or her to find sufficient sureties, and on his or her failure so to do may commit him or her to prison.</w:t>
      </w:r>
      <w:r w:rsidR="0098524F" w:rsidRPr="00DB0380">
        <w:rPr>
          <w:sz w:val="28"/>
          <w:szCs w:val="28"/>
        </w:rPr>
        <w:t>”</w:t>
      </w:r>
    </w:p>
    <w:p w:rsidR="00CE0859" w:rsidRPr="00DB0380" w:rsidRDefault="00CE0859" w:rsidP="00DB0380">
      <w:pPr>
        <w:spacing w:line="360" w:lineRule="auto"/>
        <w:jc w:val="both"/>
        <w:rPr>
          <w:sz w:val="28"/>
          <w:szCs w:val="28"/>
        </w:rPr>
      </w:pPr>
    </w:p>
    <w:p w:rsidR="00A11F99" w:rsidRPr="00DB0380" w:rsidRDefault="00CE0859" w:rsidP="00DB0380">
      <w:pPr>
        <w:spacing w:line="360" w:lineRule="auto"/>
        <w:jc w:val="both"/>
        <w:rPr>
          <w:sz w:val="28"/>
          <w:szCs w:val="28"/>
        </w:rPr>
      </w:pPr>
      <w:r w:rsidRPr="00DB0380">
        <w:rPr>
          <w:sz w:val="28"/>
          <w:szCs w:val="28"/>
        </w:rPr>
        <w:t>The foregoing legal provisions have the fo</w:t>
      </w:r>
      <w:r w:rsidR="00774800" w:rsidRPr="00DB0380">
        <w:rPr>
          <w:sz w:val="28"/>
          <w:szCs w:val="28"/>
        </w:rPr>
        <w:t>llowing</w:t>
      </w:r>
      <w:r w:rsidRPr="00DB0380">
        <w:rPr>
          <w:sz w:val="28"/>
          <w:szCs w:val="28"/>
        </w:rPr>
        <w:t xml:space="preserve"> sum effect.  First, article 23(6)(c)</w:t>
      </w:r>
      <w:r w:rsidR="00774800" w:rsidRPr="00DB0380">
        <w:rPr>
          <w:sz w:val="28"/>
          <w:szCs w:val="28"/>
        </w:rPr>
        <w:t xml:space="preserve"> of the Constitution </w:t>
      </w:r>
      <w:r w:rsidRPr="00DB0380">
        <w:rPr>
          <w:sz w:val="28"/>
          <w:szCs w:val="28"/>
        </w:rPr>
        <w:t>renders it mandatory for the High Court to grant bail to any person remanded in custody for 180 days without committal for trial.  Secondly, section 14(1)</w:t>
      </w:r>
      <w:r w:rsidR="00774800" w:rsidRPr="00DB0380">
        <w:rPr>
          <w:sz w:val="28"/>
          <w:szCs w:val="28"/>
        </w:rPr>
        <w:t xml:space="preserve"> of the TIA </w:t>
      </w:r>
      <w:r w:rsidR="000761C8" w:rsidRPr="00DB0380">
        <w:rPr>
          <w:sz w:val="28"/>
          <w:szCs w:val="28"/>
        </w:rPr>
        <w:t>outlines the essence of what amounts to bail</w:t>
      </w:r>
      <w:r w:rsidR="00774800" w:rsidRPr="00DB0380">
        <w:rPr>
          <w:sz w:val="28"/>
          <w:szCs w:val="28"/>
        </w:rPr>
        <w:t>,</w:t>
      </w:r>
      <w:r w:rsidR="000761C8" w:rsidRPr="00DB0380">
        <w:rPr>
          <w:sz w:val="28"/>
          <w:szCs w:val="28"/>
        </w:rPr>
        <w:t xml:space="preserve"> to wit</w:t>
      </w:r>
      <w:r w:rsidR="00774800" w:rsidRPr="00DB0380">
        <w:rPr>
          <w:sz w:val="28"/>
          <w:szCs w:val="28"/>
        </w:rPr>
        <w:t>,</w:t>
      </w:r>
      <w:r w:rsidR="000761C8" w:rsidRPr="00DB0380">
        <w:rPr>
          <w:sz w:val="28"/>
          <w:szCs w:val="28"/>
        </w:rPr>
        <w:t xml:space="preserve"> a bond on an applicant for such amount of money as would be reasonable to ensure such applicant’s attendance of court on the dates designated in the bond.  While section 14(1) permits the grant of bail by the High Court with or without sureties, section 17 </w:t>
      </w:r>
      <w:r w:rsidR="00774800" w:rsidRPr="00DB0380">
        <w:rPr>
          <w:sz w:val="28"/>
          <w:szCs w:val="28"/>
        </w:rPr>
        <w:t xml:space="preserve">of the same Act </w:t>
      </w:r>
      <w:r w:rsidR="000761C8" w:rsidRPr="00DB0380">
        <w:rPr>
          <w:sz w:val="28"/>
          <w:szCs w:val="28"/>
        </w:rPr>
        <w:t xml:space="preserve">is quite instructive on the need, not only for sureties but for substantial or sufficient sureties. </w:t>
      </w:r>
      <w:r w:rsidR="00A11F99" w:rsidRPr="00DB0380">
        <w:rPr>
          <w:sz w:val="28"/>
          <w:szCs w:val="28"/>
        </w:rPr>
        <w:t xml:space="preserve"> Therefore, in my view, even where the grant of bail is mandatory, as is the case presently, in exercise of its discretion on the terms of such grant the court is required to evaluate the substantiality of the sureties presented and may decline to immediately grant bail until more substantial sureties are presented.</w:t>
      </w:r>
      <w:r w:rsidR="00960C69" w:rsidRPr="00DB0380">
        <w:rPr>
          <w:sz w:val="28"/>
          <w:szCs w:val="28"/>
        </w:rPr>
        <w:t xml:space="preserve">  Indeed, an applicant otherwise entitled to mandatory grant of bail is, nonetheless, required to meet the terms of such bail as set by the courts.</w:t>
      </w:r>
    </w:p>
    <w:p w:rsidR="00A11F99" w:rsidRPr="00DB0380" w:rsidRDefault="00A11F99" w:rsidP="00DB0380">
      <w:pPr>
        <w:spacing w:line="360" w:lineRule="auto"/>
        <w:jc w:val="both"/>
        <w:rPr>
          <w:sz w:val="28"/>
          <w:szCs w:val="28"/>
        </w:rPr>
      </w:pPr>
    </w:p>
    <w:p w:rsidR="00CE0859" w:rsidRPr="00DB0380" w:rsidRDefault="00A11F99" w:rsidP="00DB0380">
      <w:pPr>
        <w:spacing w:line="360" w:lineRule="auto"/>
        <w:jc w:val="both"/>
        <w:rPr>
          <w:sz w:val="28"/>
          <w:szCs w:val="28"/>
        </w:rPr>
      </w:pPr>
      <w:r w:rsidRPr="00DB0380">
        <w:rPr>
          <w:sz w:val="28"/>
          <w:szCs w:val="28"/>
        </w:rPr>
        <w:t xml:space="preserve">What would amount to a substantial or sufficient surety is quite relative, and would of necessity depend on the circumstances of each case.  Nonetheless, in </w:t>
      </w:r>
      <w:r w:rsidRPr="00DB0380">
        <w:rPr>
          <w:b/>
          <w:sz w:val="28"/>
          <w:szCs w:val="28"/>
          <w:u w:val="single"/>
        </w:rPr>
        <w:t xml:space="preserve">Odoki, B. J, </w:t>
      </w:r>
      <w:r w:rsidRPr="00DB0380">
        <w:rPr>
          <w:b/>
          <w:i/>
          <w:sz w:val="28"/>
          <w:szCs w:val="28"/>
          <w:u w:val="single"/>
        </w:rPr>
        <w:t>‘A guide to Criminal Procedure in Uganda’</w:t>
      </w:r>
      <w:r w:rsidRPr="00DB0380">
        <w:rPr>
          <w:b/>
          <w:sz w:val="28"/>
          <w:szCs w:val="28"/>
          <w:u w:val="single"/>
        </w:rPr>
        <w:t>, LDC Publishers, 2006 (3</w:t>
      </w:r>
      <w:r w:rsidRPr="00DB0380">
        <w:rPr>
          <w:b/>
          <w:sz w:val="28"/>
          <w:szCs w:val="28"/>
          <w:u w:val="single"/>
          <w:vertAlign w:val="superscript"/>
        </w:rPr>
        <w:t>rd</w:t>
      </w:r>
      <w:r w:rsidRPr="00DB0380">
        <w:rPr>
          <w:b/>
          <w:sz w:val="28"/>
          <w:szCs w:val="28"/>
          <w:u w:val="single"/>
        </w:rPr>
        <w:t xml:space="preserve"> Edition) at p.91 </w:t>
      </w:r>
      <w:r w:rsidRPr="00DB0380">
        <w:rPr>
          <w:sz w:val="28"/>
          <w:szCs w:val="28"/>
        </w:rPr>
        <w:t>it was opined:</w:t>
      </w:r>
    </w:p>
    <w:p w:rsidR="00A11F99" w:rsidRPr="00DB0380" w:rsidRDefault="00A11F99" w:rsidP="00DB0380">
      <w:pPr>
        <w:spacing w:line="360" w:lineRule="auto"/>
        <w:ind w:left="720"/>
        <w:jc w:val="both"/>
        <w:rPr>
          <w:b/>
          <w:sz w:val="28"/>
          <w:szCs w:val="28"/>
        </w:rPr>
      </w:pPr>
      <w:r w:rsidRPr="00DB0380">
        <w:rPr>
          <w:sz w:val="28"/>
          <w:szCs w:val="28"/>
        </w:rPr>
        <w:t>“</w:t>
      </w:r>
      <w:r w:rsidRPr="00DB0380">
        <w:rPr>
          <w:b/>
          <w:sz w:val="28"/>
          <w:szCs w:val="28"/>
        </w:rPr>
        <w:t>The court should inquire into the worth and social position of sureties.  The sureties must have the means to answer for the sum involved (recognizance) and should be persons of some social standing in the community.</w:t>
      </w:r>
      <w:r w:rsidRPr="00DB0380">
        <w:rPr>
          <w:sz w:val="28"/>
          <w:szCs w:val="28"/>
        </w:rPr>
        <w:t>”</w:t>
      </w:r>
    </w:p>
    <w:p w:rsidR="000761C8" w:rsidRPr="00DB0380" w:rsidRDefault="000761C8" w:rsidP="00DB0380">
      <w:pPr>
        <w:spacing w:line="360" w:lineRule="auto"/>
        <w:jc w:val="both"/>
        <w:rPr>
          <w:sz w:val="28"/>
          <w:szCs w:val="28"/>
        </w:rPr>
      </w:pPr>
    </w:p>
    <w:p w:rsidR="00A11F99" w:rsidRPr="00DB0380" w:rsidRDefault="00A11F99" w:rsidP="00DB0380">
      <w:pPr>
        <w:spacing w:line="360" w:lineRule="auto"/>
        <w:jc w:val="both"/>
        <w:rPr>
          <w:sz w:val="28"/>
          <w:szCs w:val="28"/>
        </w:rPr>
      </w:pPr>
      <w:r w:rsidRPr="00DB0380">
        <w:rPr>
          <w:sz w:val="28"/>
          <w:szCs w:val="28"/>
        </w:rPr>
        <w:t xml:space="preserve">I do take the foregoing parameters into account as I evaluate the substantiality of the sureties provided. </w:t>
      </w:r>
      <w:r w:rsidR="00960C69" w:rsidRPr="00DB0380">
        <w:rPr>
          <w:sz w:val="28"/>
          <w:szCs w:val="28"/>
        </w:rPr>
        <w:t xml:space="preserve">Further, </w:t>
      </w:r>
      <w:r w:rsidR="00A3605B" w:rsidRPr="00DB0380">
        <w:rPr>
          <w:sz w:val="28"/>
          <w:szCs w:val="28"/>
        </w:rPr>
        <w:t xml:space="preserve">in my view, </w:t>
      </w:r>
      <w:r w:rsidR="00960C69" w:rsidRPr="00DB0380">
        <w:rPr>
          <w:sz w:val="28"/>
          <w:szCs w:val="28"/>
        </w:rPr>
        <w:t>the over-riding consideration in an application such as the present one is that the terms of bail granted should be such as would ensure the grantee’s compliance with the bond reporting terms</w:t>
      </w:r>
      <w:r w:rsidR="00A3605B" w:rsidRPr="00DB0380">
        <w:rPr>
          <w:sz w:val="28"/>
          <w:szCs w:val="28"/>
        </w:rPr>
        <w:t xml:space="preserve"> as is implicit in section 14(1) of the TIA,</w:t>
      </w:r>
      <w:r w:rsidR="00960C69" w:rsidRPr="00DB0380">
        <w:rPr>
          <w:sz w:val="28"/>
          <w:szCs w:val="28"/>
        </w:rPr>
        <w:t xml:space="preserve"> as well as his/ her a</w:t>
      </w:r>
      <w:r w:rsidR="00A3605B" w:rsidRPr="00DB0380">
        <w:rPr>
          <w:sz w:val="28"/>
          <w:szCs w:val="28"/>
        </w:rPr>
        <w:t>ppearance</w:t>
      </w:r>
      <w:r w:rsidR="00960C69" w:rsidRPr="00DB0380">
        <w:rPr>
          <w:sz w:val="28"/>
          <w:szCs w:val="28"/>
        </w:rPr>
        <w:t xml:space="preserve"> </w:t>
      </w:r>
      <w:r w:rsidR="00A3605B" w:rsidRPr="00DB0380">
        <w:rPr>
          <w:sz w:val="28"/>
          <w:szCs w:val="28"/>
        </w:rPr>
        <w:t xml:space="preserve">for the substantive trial.  </w:t>
      </w:r>
      <w:r w:rsidR="00960C69" w:rsidRPr="00DB0380">
        <w:rPr>
          <w:sz w:val="28"/>
          <w:szCs w:val="28"/>
        </w:rPr>
        <w:t xml:space="preserve"> </w:t>
      </w:r>
      <w:r w:rsidR="00553CCE" w:rsidRPr="00DB0380">
        <w:rPr>
          <w:sz w:val="28"/>
          <w:szCs w:val="28"/>
        </w:rPr>
        <w:t>The considerations stipulated in section 15(4) of the TIA would be instructive for the latter purpose.</w:t>
      </w:r>
      <w:r w:rsidR="00960C69" w:rsidRPr="00DB0380">
        <w:rPr>
          <w:sz w:val="28"/>
          <w:szCs w:val="28"/>
        </w:rPr>
        <w:t xml:space="preserve">  </w:t>
      </w:r>
      <w:r w:rsidRPr="00DB0380">
        <w:rPr>
          <w:sz w:val="28"/>
          <w:szCs w:val="28"/>
        </w:rPr>
        <w:t xml:space="preserve"> </w:t>
      </w:r>
    </w:p>
    <w:p w:rsidR="000C48DD" w:rsidRPr="00DB0380" w:rsidRDefault="000C48DD" w:rsidP="00DB0380">
      <w:pPr>
        <w:spacing w:line="360" w:lineRule="auto"/>
        <w:ind w:left="720"/>
        <w:jc w:val="both"/>
        <w:rPr>
          <w:b/>
          <w:sz w:val="28"/>
          <w:szCs w:val="28"/>
        </w:rPr>
      </w:pPr>
    </w:p>
    <w:p w:rsidR="00C92216" w:rsidRPr="00DB0380" w:rsidRDefault="00553CCE" w:rsidP="00DB0380">
      <w:pPr>
        <w:spacing w:line="360" w:lineRule="auto"/>
        <w:jc w:val="both"/>
        <w:rPr>
          <w:sz w:val="28"/>
          <w:szCs w:val="28"/>
        </w:rPr>
      </w:pPr>
      <w:r w:rsidRPr="00DB0380">
        <w:rPr>
          <w:sz w:val="28"/>
          <w:szCs w:val="28"/>
        </w:rPr>
        <w:t xml:space="preserve">The circumstances of the present application are that the applicants and 3 others were charged with murder, a grave offence by any standard.  </w:t>
      </w:r>
      <w:r w:rsidR="00C92216" w:rsidRPr="00DB0380">
        <w:rPr>
          <w:sz w:val="28"/>
          <w:szCs w:val="28"/>
        </w:rPr>
        <w:t>T</w:t>
      </w:r>
      <w:r w:rsidRPr="00DB0380">
        <w:rPr>
          <w:sz w:val="28"/>
          <w:szCs w:val="28"/>
        </w:rPr>
        <w:t xml:space="preserve">he applicants were all </w:t>
      </w:r>
      <w:r w:rsidR="00C92216" w:rsidRPr="00DB0380">
        <w:rPr>
          <w:sz w:val="28"/>
          <w:szCs w:val="28"/>
        </w:rPr>
        <w:t xml:space="preserve">stated to be </w:t>
      </w:r>
      <w:r w:rsidRPr="00DB0380">
        <w:rPr>
          <w:sz w:val="28"/>
          <w:szCs w:val="28"/>
        </w:rPr>
        <w:t xml:space="preserve">persons of means, all of whom were successful commercial farmers with </w:t>
      </w:r>
      <w:r w:rsidR="00C92216" w:rsidRPr="00DB0380">
        <w:rPr>
          <w:sz w:val="28"/>
          <w:szCs w:val="28"/>
        </w:rPr>
        <w:t xml:space="preserve">commercial premises in Nakasongola Town.  </w:t>
      </w:r>
      <w:r w:rsidRPr="00DB0380">
        <w:rPr>
          <w:sz w:val="28"/>
          <w:szCs w:val="28"/>
        </w:rPr>
        <w:t>The sureties presented were all of a fairly substantial social standing in their community</w:t>
      </w:r>
      <w:r w:rsidR="00C92216" w:rsidRPr="00DB0380">
        <w:rPr>
          <w:sz w:val="28"/>
          <w:szCs w:val="28"/>
        </w:rPr>
        <w:t xml:space="preserve"> and successful farmers </w:t>
      </w:r>
      <w:r w:rsidR="009E45E2" w:rsidRPr="00DB0380">
        <w:rPr>
          <w:sz w:val="28"/>
          <w:szCs w:val="28"/>
        </w:rPr>
        <w:t>or</w:t>
      </w:r>
      <w:r w:rsidR="00C92216" w:rsidRPr="00DB0380">
        <w:rPr>
          <w:sz w:val="28"/>
          <w:szCs w:val="28"/>
        </w:rPr>
        <w:t xml:space="preserve"> business persons able to make good of the recognizance set by this court if the need arose.  </w:t>
      </w:r>
      <w:r w:rsidR="009E45E2" w:rsidRPr="00DB0380">
        <w:rPr>
          <w:sz w:val="28"/>
          <w:szCs w:val="28"/>
        </w:rPr>
        <w:t xml:space="preserve">I would therefore accept all the sureties presented. </w:t>
      </w:r>
      <w:r w:rsidR="00C92216" w:rsidRPr="00DB0380">
        <w:rPr>
          <w:sz w:val="28"/>
          <w:szCs w:val="28"/>
        </w:rPr>
        <w:t>Furthermore, I am satisfied that the relationship between each applicant and their sureties is such as would ensure the applicants’ appearance for their trial.</w:t>
      </w:r>
    </w:p>
    <w:p w:rsidR="00C92216" w:rsidRPr="00DB0380" w:rsidRDefault="00C92216" w:rsidP="00DB0380">
      <w:pPr>
        <w:spacing w:line="360" w:lineRule="auto"/>
        <w:jc w:val="both"/>
        <w:rPr>
          <w:sz w:val="28"/>
          <w:szCs w:val="28"/>
        </w:rPr>
      </w:pPr>
    </w:p>
    <w:p w:rsidR="00C92216" w:rsidRPr="00DB0380" w:rsidRDefault="00C92216" w:rsidP="00DB0380">
      <w:pPr>
        <w:spacing w:line="360" w:lineRule="auto"/>
        <w:jc w:val="both"/>
        <w:rPr>
          <w:sz w:val="28"/>
          <w:szCs w:val="28"/>
        </w:rPr>
      </w:pPr>
      <w:r w:rsidRPr="00DB0380">
        <w:rPr>
          <w:sz w:val="28"/>
          <w:szCs w:val="28"/>
        </w:rPr>
        <w:t>Bail is therefore granted on the following terms:</w:t>
      </w:r>
    </w:p>
    <w:p w:rsidR="00C92216" w:rsidRPr="00DB0380" w:rsidRDefault="00C92216" w:rsidP="00DB0380">
      <w:pPr>
        <w:spacing w:line="360" w:lineRule="auto"/>
        <w:jc w:val="both"/>
        <w:rPr>
          <w:sz w:val="28"/>
          <w:szCs w:val="28"/>
        </w:rPr>
      </w:pPr>
    </w:p>
    <w:p w:rsidR="00C92216" w:rsidRPr="00DB0380" w:rsidRDefault="009E45E2" w:rsidP="00DB0380">
      <w:pPr>
        <w:pStyle w:val="ListParagraph"/>
        <w:numPr>
          <w:ilvl w:val="0"/>
          <w:numId w:val="6"/>
        </w:numPr>
        <w:spacing w:line="360" w:lineRule="auto"/>
        <w:jc w:val="both"/>
        <w:rPr>
          <w:sz w:val="28"/>
          <w:szCs w:val="28"/>
        </w:rPr>
      </w:pPr>
      <w:r w:rsidRPr="00DB0380">
        <w:rPr>
          <w:sz w:val="28"/>
          <w:szCs w:val="28"/>
        </w:rPr>
        <w:t xml:space="preserve">A1 and A4 shall each execute a cash bond of Ushs. 1,500,000/=; while A2, A3 and A5 </w:t>
      </w:r>
      <w:r w:rsidR="00C92216" w:rsidRPr="00DB0380">
        <w:rPr>
          <w:sz w:val="28"/>
          <w:szCs w:val="28"/>
        </w:rPr>
        <w:t>shall each execute a cash bond of Ushs. 2,000,000/=.</w:t>
      </w:r>
    </w:p>
    <w:p w:rsidR="00C92216" w:rsidRPr="00DB0380" w:rsidRDefault="00C92216" w:rsidP="00DB0380">
      <w:pPr>
        <w:pStyle w:val="ListParagraph"/>
        <w:numPr>
          <w:ilvl w:val="0"/>
          <w:numId w:val="6"/>
        </w:numPr>
        <w:spacing w:line="360" w:lineRule="auto"/>
        <w:jc w:val="both"/>
        <w:rPr>
          <w:sz w:val="28"/>
          <w:szCs w:val="28"/>
        </w:rPr>
      </w:pPr>
      <w:r w:rsidRPr="00DB0380">
        <w:rPr>
          <w:sz w:val="28"/>
          <w:szCs w:val="28"/>
        </w:rPr>
        <w:t xml:space="preserve">Each of the sureties shall execute non-cash bonds of Ushs. </w:t>
      </w:r>
      <w:r w:rsidR="00D326D4" w:rsidRPr="00DB0380">
        <w:rPr>
          <w:sz w:val="28"/>
          <w:szCs w:val="28"/>
        </w:rPr>
        <w:t>6</w:t>
      </w:r>
      <w:r w:rsidRPr="00DB0380">
        <w:rPr>
          <w:sz w:val="28"/>
          <w:szCs w:val="28"/>
        </w:rPr>
        <w:t>,000,000/=.</w:t>
      </w:r>
    </w:p>
    <w:p w:rsidR="00E04D98" w:rsidRPr="00DB0380" w:rsidRDefault="007867F3" w:rsidP="00DB0380">
      <w:pPr>
        <w:pStyle w:val="ListParagraph"/>
        <w:numPr>
          <w:ilvl w:val="0"/>
          <w:numId w:val="6"/>
        </w:numPr>
        <w:spacing w:line="360" w:lineRule="auto"/>
        <w:jc w:val="both"/>
        <w:rPr>
          <w:sz w:val="28"/>
          <w:szCs w:val="28"/>
        </w:rPr>
      </w:pPr>
      <w:r w:rsidRPr="00DB0380">
        <w:rPr>
          <w:sz w:val="28"/>
          <w:szCs w:val="28"/>
        </w:rPr>
        <w:t xml:space="preserve">The applicants shall each report to the Deputy Registrar of the Criminal Division of the High Court every two weeks </w:t>
      </w:r>
      <w:r w:rsidR="00E04D98" w:rsidRPr="00DB0380">
        <w:rPr>
          <w:sz w:val="28"/>
          <w:szCs w:val="28"/>
        </w:rPr>
        <w:t xml:space="preserve">at 10.00 am </w:t>
      </w:r>
      <w:r w:rsidRPr="00DB0380">
        <w:rPr>
          <w:sz w:val="28"/>
          <w:szCs w:val="28"/>
        </w:rPr>
        <w:t>starting on Monday 11</w:t>
      </w:r>
      <w:r w:rsidRPr="00DB0380">
        <w:rPr>
          <w:sz w:val="28"/>
          <w:szCs w:val="28"/>
          <w:vertAlign w:val="superscript"/>
        </w:rPr>
        <w:t>th</w:t>
      </w:r>
      <w:r w:rsidRPr="00DB0380">
        <w:rPr>
          <w:sz w:val="28"/>
          <w:szCs w:val="28"/>
        </w:rPr>
        <w:t xml:space="preserve"> March 2013 until the disposal of their case</w:t>
      </w:r>
      <w:r w:rsidR="00E04D98" w:rsidRPr="00DB0380">
        <w:rPr>
          <w:sz w:val="28"/>
          <w:szCs w:val="28"/>
        </w:rPr>
        <w:t>.</w:t>
      </w:r>
    </w:p>
    <w:p w:rsidR="007867F3" w:rsidRPr="00DB0380" w:rsidRDefault="00E04D98" w:rsidP="00DB0380">
      <w:pPr>
        <w:pStyle w:val="ListParagraph"/>
        <w:numPr>
          <w:ilvl w:val="0"/>
          <w:numId w:val="6"/>
        </w:numPr>
        <w:spacing w:line="360" w:lineRule="auto"/>
        <w:jc w:val="both"/>
        <w:rPr>
          <w:sz w:val="28"/>
          <w:szCs w:val="28"/>
        </w:rPr>
      </w:pPr>
      <w:r w:rsidRPr="00DB0380">
        <w:rPr>
          <w:sz w:val="28"/>
          <w:szCs w:val="28"/>
        </w:rPr>
        <w:t>F</w:t>
      </w:r>
      <w:r w:rsidR="007867F3" w:rsidRPr="00DB0380">
        <w:rPr>
          <w:sz w:val="28"/>
          <w:szCs w:val="28"/>
        </w:rPr>
        <w:t xml:space="preserve">ailure of </w:t>
      </w:r>
      <w:r w:rsidRPr="00DB0380">
        <w:rPr>
          <w:sz w:val="28"/>
          <w:szCs w:val="28"/>
        </w:rPr>
        <w:t xml:space="preserve">the applicants to fulfill these </w:t>
      </w:r>
      <w:r w:rsidR="007867F3" w:rsidRPr="00DB0380">
        <w:rPr>
          <w:sz w:val="28"/>
          <w:szCs w:val="28"/>
        </w:rPr>
        <w:t xml:space="preserve">bail </w:t>
      </w:r>
      <w:r w:rsidRPr="00DB0380">
        <w:rPr>
          <w:sz w:val="28"/>
          <w:szCs w:val="28"/>
        </w:rPr>
        <w:t xml:space="preserve">terms </w:t>
      </w:r>
      <w:r w:rsidR="007867F3" w:rsidRPr="00DB0380">
        <w:rPr>
          <w:sz w:val="28"/>
          <w:szCs w:val="28"/>
        </w:rPr>
        <w:t xml:space="preserve">shall </w:t>
      </w:r>
      <w:r w:rsidRPr="00DB0380">
        <w:rPr>
          <w:sz w:val="28"/>
          <w:szCs w:val="28"/>
        </w:rPr>
        <w:t xml:space="preserve">result in the forfeiture and/ or </w:t>
      </w:r>
      <w:r w:rsidR="007867F3" w:rsidRPr="00DB0380">
        <w:rPr>
          <w:sz w:val="28"/>
          <w:szCs w:val="28"/>
        </w:rPr>
        <w:t>cancell</w:t>
      </w:r>
      <w:r w:rsidRPr="00DB0380">
        <w:rPr>
          <w:sz w:val="28"/>
          <w:szCs w:val="28"/>
        </w:rPr>
        <w:t>ation thereof.</w:t>
      </w:r>
    </w:p>
    <w:p w:rsidR="000C48DD" w:rsidRPr="00DB0380" w:rsidRDefault="000C48DD" w:rsidP="00DB0380">
      <w:pPr>
        <w:spacing w:line="360" w:lineRule="auto"/>
        <w:jc w:val="both"/>
        <w:rPr>
          <w:sz w:val="28"/>
          <w:szCs w:val="28"/>
        </w:rPr>
      </w:pPr>
    </w:p>
    <w:p w:rsidR="000C48DD" w:rsidRPr="00DB0380" w:rsidRDefault="00E04D98" w:rsidP="00DB0380">
      <w:pPr>
        <w:spacing w:line="360" w:lineRule="auto"/>
        <w:jc w:val="both"/>
        <w:rPr>
          <w:sz w:val="28"/>
          <w:szCs w:val="28"/>
        </w:rPr>
      </w:pPr>
      <w:r w:rsidRPr="00DB0380">
        <w:rPr>
          <w:sz w:val="28"/>
          <w:szCs w:val="28"/>
        </w:rPr>
        <w:t>I so order.</w:t>
      </w:r>
    </w:p>
    <w:p w:rsidR="000C48DD" w:rsidRPr="00DB0380" w:rsidRDefault="000C48DD" w:rsidP="00DB0380">
      <w:pPr>
        <w:spacing w:line="360" w:lineRule="auto"/>
        <w:jc w:val="both"/>
        <w:rPr>
          <w:sz w:val="28"/>
          <w:szCs w:val="28"/>
        </w:rPr>
      </w:pPr>
    </w:p>
    <w:p w:rsidR="007867F3" w:rsidRPr="00DB0380" w:rsidRDefault="007867F3" w:rsidP="00DB0380">
      <w:pPr>
        <w:spacing w:line="360" w:lineRule="auto"/>
        <w:jc w:val="both"/>
        <w:rPr>
          <w:sz w:val="28"/>
          <w:szCs w:val="28"/>
        </w:rPr>
      </w:pPr>
    </w:p>
    <w:p w:rsidR="007867F3" w:rsidRPr="00DB0380" w:rsidRDefault="007867F3" w:rsidP="00DB0380">
      <w:pPr>
        <w:spacing w:line="360" w:lineRule="auto"/>
        <w:jc w:val="both"/>
        <w:rPr>
          <w:sz w:val="28"/>
          <w:szCs w:val="28"/>
        </w:rPr>
      </w:pPr>
    </w:p>
    <w:p w:rsidR="000C48DD" w:rsidRPr="00DB0380" w:rsidRDefault="000C48DD" w:rsidP="00DB0380">
      <w:pPr>
        <w:spacing w:line="360" w:lineRule="auto"/>
        <w:jc w:val="both"/>
        <w:rPr>
          <w:b/>
          <w:sz w:val="28"/>
          <w:szCs w:val="28"/>
        </w:rPr>
      </w:pPr>
      <w:r w:rsidRPr="00DB0380">
        <w:rPr>
          <w:b/>
          <w:sz w:val="28"/>
          <w:szCs w:val="28"/>
        </w:rPr>
        <w:t>Monica K. Mugenyi</w:t>
      </w:r>
    </w:p>
    <w:p w:rsidR="000C48DD" w:rsidRPr="00DB0380" w:rsidRDefault="000C48DD" w:rsidP="00DB0380">
      <w:pPr>
        <w:spacing w:line="360" w:lineRule="auto"/>
        <w:jc w:val="both"/>
        <w:rPr>
          <w:b/>
          <w:sz w:val="28"/>
          <w:szCs w:val="28"/>
          <w:u w:val="single"/>
        </w:rPr>
      </w:pPr>
      <w:r w:rsidRPr="00DB0380">
        <w:rPr>
          <w:b/>
          <w:sz w:val="28"/>
          <w:szCs w:val="28"/>
          <w:u w:val="single"/>
        </w:rPr>
        <w:t>JUDGE</w:t>
      </w:r>
    </w:p>
    <w:p w:rsidR="000C48DD" w:rsidRPr="00DB0380" w:rsidRDefault="000C48DD" w:rsidP="00DB0380">
      <w:pPr>
        <w:spacing w:line="360" w:lineRule="auto"/>
        <w:jc w:val="both"/>
        <w:rPr>
          <w:b/>
          <w:sz w:val="28"/>
          <w:szCs w:val="28"/>
        </w:rPr>
      </w:pPr>
    </w:p>
    <w:p w:rsidR="000C48DD" w:rsidRPr="00DB0380" w:rsidRDefault="000C48DD" w:rsidP="00DB0380">
      <w:pPr>
        <w:spacing w:line="360" w:lineRule="auto"/>
        <w:jc w:val="both"/>
        <w:rPr>
          <w:sz w:val="28"/>
          <w:szCs w:val="28"/>
        </w:rPr>
      </w:pPr>
      <w:r w:rsidRPr="00DB0380">
        <w:rPr>
          <w:sz w:val="28"/>
          <w:szCs w:val="28"/>
        </w:rPr>
        <w:t>2</w:t>
      </w:r>
      <w:r w:rsidR="007867F3" w:rsidRPr="00DB0380">
        <w:rPr>
          <w:sz w:val="28"/>
          <w:szCs w:val="28"/>
        </w:rPr>
        <w:t>5</w:t>
      </w:r>
      <w:r w:rsidRPr="00DB0380">
        <w:rPr>
          <w:sz w:val="28"/>
          <w:szCs w:val="28"/>
          <w:vertAlign w:val="superscript"/>
        </w:rPr>
        <w:t>th</w:t>
      </w:r>
      <w:r w:rsidRPr="00DB0380">
        <w:rPr>
          <w:sz w:val="28"/>
          <w:szCs w:val="28"/>
        </w:rPr>
        <w:t xml:space="preserve"> </w:t>
      </w:r>
      <w:r w:rsidR="007867F3" w:rsidRPr="00DB0380">
        <w:rPr>
          <w:sz w:val="28"/>
          <w:szCs w:val="28"/>
        </w:rPr>
        <w:t>February</w:t>
      </w:r>
      <w:r w:rsidR="00D611E2" w:rsidRPr="00DB0380">
        <w:rPr>
          <w:sz w:val="28"/>
          <w:szCs w:val="28"/>
        </w:rPr>
        <w:t>,</w:t>
      </w:r>
      <w:r w:rsidRPr="00DB0380">
        <w:rPr>
          <w:sz w:val="28"/>
          <w:szCs w:val="28"/>
        </w:rPr>
        <w:t xml:space="preserve"> 201</w:t>
      </w:r>
      <w:r w:rsidR="007867F3" w:rsidRPr="00DB0380">
        <w:rPr>
          <w:sz w:val="28"/>
          <w:szCs w:val="28"/>
        </w:rPr>
        <w:t>3</w:t>
      </w:r>
    </w:p>
    <w:p w:rsidR="000C48DD" w:rsidRPr="00DB0380" w:rsidRDefault="000C48DD" w:rsidP="00DB0380">
      <w:pPr>
        <w:spacing w:line="360" w:lineRule="auto"/>
        <w:jc w:val="both"/>
        <w:rPr>
          <w:sz w:val="28"/>
          <w:szCs w:val="28"/>
        </w:rPr>
      </w:pPr>
    </w:p>
    <w:p w:rsidR="000C48DD" w:rsidRPr="00DB0380" w:rsidRDefault="000C48DD" w:rsidP="00DB0380">
      <w:pPr>
        <w:spacing w:line="360" w:lineRule="auto"/>
        <w:jc w:val="both"/>
        <w:rPr>
          <w:sz w:val="28"/>
          <w:szCs w:val="28"/>
        </w:rPr>
      </w:pPr>
    </w:p>
    <w:p w:rsidR="000C48DD" w:rsidRPr="00DB0380" w:rsidRDefault="000C48DD" w:rsidP="00DB0380">
      <w:pPr>
        <w:spacing w:line="360" w:lineRule="auto"/>
        <w:jc w:val="both"/>
        <w:rPr>
          <w:sz w:val="28"/>
          <w:szCs w:val="28"/>
        </w:rPr>
      </w:pPr>
    </w:p>
    <w:p w:rsidR="000D2011" w:rsidRPr="00DB0380" w:rsidRDefault="000D2011" w:rsidP="00DB0380">
      <w:pPr>
        <w:spacing w:line="360" w:lineRule="auto"/>
        <w:rPr>
          <w:sz w:val="28"/>
          <w:szCs w:val="28"/>
        </w:rPr>
      </w:pPr>
    </w:p>
    <w:sectPr w:rsidR="000D2011" w:rsidRPr="00DB0380" w:rsidSect="000D2011">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AF2" w:rsidRDefault="00470AF2" w:rsidP="003330EC">
      <w:r>
        <w:separator/>
      </w:r>
    </w:p>
  </w:endnote>
  <w:endnote w:type="continuationSeparator" w:id="1">
    <w:p w:rsidR="00470AF2" w:rsidRDefault="00470AF2" w:rsidP="00333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9301"/>
      <w:docPartObj>
        <w:docPartGallery w:val="Page Numbers (Bottom of Page)"/>
        <w:docPartUnique/>
      </w:docPartObj>
    </w:sdtPr>
    <w:sdtContent>
      <w:p w:rsidR="003330EC" w:rsidRDefault="003111BC">
        <w:pPr>
          <w:pStyle w:val="Footer"/>
          <w:jc w:val="center"/>
        </w:pPr>
        <w:fldSimple w:instr=" PAGE   \* MERGEFORMAT ">
          <w:r w:rsidR="00470AF2">
            <w:rPr>
              <w:noProof/>
            </w:rPr>
            <w:t>1</w:t>
          </w:r>
        </w:fldSimple>
      </w:p>
    </w:sdtContent>
  </w:sdt>
  <w:p w:rsidR="003330EC" w:rsidRDefault="00333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AF2" w:rsidRDefault="00470AF2" w:rsidP="003330EC">
      <w:r>
        <w:separator/>
      </w:r>
    </w:p>
  </w:footnote>
  <w:footnote w:type="continuationSeparator" w:id="1">
    <w:p w:rsidR="00470AF2" w:rsidRDefault="00470AF2" w:rsidP="00333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E37C2"/>
    <w:multiLevelType w:val="hybridMultilevel"/>
    <w:tmpl w:val="E5AC7A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EA71F1"/>
    <w:multiLevelType w:val="hybridMultilevel"/>
    <w:tmpl w:val="706A0ABC"/>
    <w:lvl w:ilvl="0" w:tplc="41D8560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4D8A5A27"/>
    <w:multiLevelType w:val="hybridMultilevel"/>
    <w:tmpl w:val="B9B4A9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4C42426"/>
    <w:multiLevelType w:val="hybridMultilevel"/>
    <w:tmpl w:val="F222B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BE5469"/>
    <w:multiLevelType w:val="hybridMultilevel"/>
    <w:tmpl w:val="F70C0EE6"/>
    <w:lvl w:ilvl="0" w:tplc="5D52849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CB4F34"/>
    <w:multiLevelType w:val="hybridMultilevel"/>
    <w:tmpl w:val="170682F0"/>
    <w:lvl w:ilvl="0" w:tplc="4A309E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C48DD"/>
    <w:rsid w:val="00043DC5"/>
    <w:rsid w:val="000468F6"/>
    <w:rsid w:val="000761C8"/>
    <w:rsid w:val="00093EF0"/>
    <w:rsid w:val="000C343B"/>
    <w:rsid w:val="000C48DD"/>
    <w:rsid w:val="000D2011"/>
    <w:rsid w:val="0024673B"/>
    <w:rsid w:val="002A0799"/>
    <w:rsid w:val="003111BC"/>
    <w:rsid w:val="00316524"/>
    <w:rsid w:val="003330EC"/>
    <w:rsid w:val="003869E9"/>
    <w:rsid w:val="003937D7"/>
    <w:rsid w:val="00470AF2"/>
    <w:rsid w:val="00481BBE"/>
    <w:rsid w:val="004C462B"/>
    <w:rsid w:val="00553CCE"/>
    <w:rsid w:val="00716F2C"/>
    <w:rsid w:val="00762797"/>
    <w:rsid w:val="00774800"/>
    <w:rsid w:val="00776680"/>
    <w:rsid w:val="007867F3"/>
    <w:rsid w:val="00945CBF"/>
    <w:rsid w:val="00960C69"/>
    <w:rsid w:val="0098524F"/>
    <w:rsid w:val="009E45E2"/>
    <w:rsid w:val="00A11F99"/>
    <w:rsid w:val="00A3605B"/>
    <w:rsid w:val="00AB0BA5"/>
    <w:rsid w:val="00BF16E0"/>
    <w:rsid w:val="00C42D7C"/>
    <w:rsid w:val="00C92216"/>
    <w:rsid w:val="00CA02CE"/>
    <w:rsid w:val="00CA70FC"/>
    <w:rsid w:val="00CE0859"/>
    <w:rsid w:val="00D301BB"/>
    <w:rsid w:val="00D326D4"/>
    <w:rsid w:val="00D611E2"/>
    <w:rsid w:val="00DB0380"/>
    <w:rsid w:val="00E04D98"/>
    <w:rsid w:val="00E44700"/>
    <w:rsid w:val="00F6089A"/>
    <w:rsid w:val="00F84741"/>
    <w:rsid w:val="00FD2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8DD"/>
    <w:pPr>
      <w:ind w:left="720"/>
      <w:contextualSpacing/>
    </w:pPr>
  </w:style>
  <w:style w:type="paragraph" w:styleId="Header">
    <w:name w:val="header"/>
    <w:basedOn w:val="Normal"/>
    <w:link w:val="HeaderChar"/>
    <w:uiPriority w:val="99"/>
    <w:semiHidden/>
    <w:unhideWhenUsed/>
    <w:rsid w:val="003330EC"/>
    <w:pPr>
      <w:tabs>
        <w:tab w:val="center" w:pos="4680"/>
        <w:tab w:val="right" w:pos="9360"/>
      </w:tabs>
    </w:pPr>
  </w:style>
  <w:style w:type="character" w:customStyle="1" w:styleId="HeaderChar">
    <w:name w:val="Header Char"/>
    <w:basedOn w:val="DefaultParagraphFont"/>
    <w:link w:val="Header"/>
    <w:uiPriority w:val="99"/>
    <w:semiHidden/>
    <w:rsid w:val="003330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30EC"/>
    <w:pPr>
      <w:tabs>
        <w:tab w:val="center" w:pos="4680"/>
        <w:tab w:val="right" w:pos="9360"/>
      </w:tabs>
    </w:pPr>
  </w:style>
  <w:style w:type="character" w:customStyle="1" w:styleId="FooterChar">
    <w:name w:val="Footer Char"/>
    <w:basedOn w:val="DefaultParagraphFont"/>
    <w:link w:val="Footer"/>
    <w:uiPriority w:val="99"/>
    <w:rsid w:val="003330EC"/>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BF16E0"/>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2013-02-25T05:38:00Z</cp:lastPrinted>
  <dcterms:created xsi:type="dcterms:W3CDTF">2013-02-26T06:55:00Z</dcterms:created>
  <dcterms:modified xsi:type="dcterms:W3CDTF">2013-02-26T06:55:00Z</dcterms:modified>
</cp:coreProperties>
</file>