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E35FCF" w:rsidRDefault="000D7CA7" w:rsidP="00E35FCF">
      <w:pPr>
        <w:jc w:val="center"/>
        <w:rPr>
          <w:rFonts w:ascii="Footlight MT Light" w:hAnsi="Footlight MT Light"/>
          <w:b/>
          <w:sz w:val="28"/>
          <w:szCs w:val="28"/>
        </w:rPr>
      </w:pPr>
      <w:r w:rsidRPr="00E35FCF">
        <w:rPr>
          <w:rFonts w:ascii="Footlight MT Light" w:hAnsi="Footlight MT Light"/>
          <w:b/>
          <w:sz w:val="28"/>
          <w:szCs w:val="28"/>
        </w:rPr>
        <w:t>THE REPUBLIC OF UGANDA</w:t>
      </w:r>
    </w:p>
    <w:p w:rsidR="000D7CA7" w:rsidRPr="00E35FCF" w:rsidRDefault="000D7CA7" w:rsidP="00E35FCF">
      <w:pPr>
        <w:jc w:val="center"/>
        <w:rPr>
          <w:rFonts w:ascii="Footlight MT Light" w:hAnsi="Footlight MT Light"/>
          <w:b/>
          <w:sz w:val="28"/>
          <w:szCs w:val="28"/>
        </w:rPr>
      </w:pPr>
      <w:r w:rsidRPr="00E35FCF">
        <w:rPr>
          <w:rFonts w:ascii="Footlight MT Light" w:hAnsi="Footlight MT Light"/>
          <w:b/>
          <w:sz w:val="28"/>
          <w:szCs w:val="28"/>
        </w:rPr>
        <w:t>IN THE HIGH COURT OF UGANDA AT FORT PORTAL</w:t>
      </w:r>
    </w:p>
    <w:p w:rsidR="000D7CA7" w:rsidRPr="00E35FCF" w:rsidRDefault="000D7CA7" w:rsidP="00E35FCF">
      <w:pPr>
        <w:jc w:val="center"/>
        <w:rPr>
          <w:rFonts w:ascii="Footlight MT Light" w:hAnsi="Footlight MT Light"/>
          <w:b/>
          <w:sz w:val="28"/>
          <w:szCs w:val="28"/>
        </w:rPr>
      </w:pPr>
      <w:bookmarkStart w:id="0" w:name="_GoBack"/>
      <w:r w:rsidRPr="00E35FCF">
        <w:rPr>
          <w:rFonts w:ascii="Footlight MT Light" w:hAnsi="Footlight MT Light"/>
          <w:b/>
          <w:sz w:val="28"/>
          <w:szCs w:val="28"/>
        </w:rPr>
        <w:t>MISCELLANEOUS APPLICATION NO. 069 OF 2018</w:t>
      </w:r>
    </w:p>
    <w:bookmarkEnd w:id="0"/>
    <w:p w:rsidR="000D7CA7" w:rsidRPr="00E35FCF" w:rsidRDefault="000D7CA7" w:rsidP="00E35FCF">
      <w:pPr>
        <w:jc w:val="center"/>
        <w:rPr>
          <w:rFonts w:ascii="Footlight MT Light" w:hAnsi="Footlight MT Light"/>
          <w:b/>
          <w:sz w:val="28"/>
          <w:szCs w:val="28"/>
        </w:rPr>
      </w:pPr>
      <w:r w:rsidRPr="00E35FCF">
        <w:rPr>
          <w:rFonts w:ascii="Footlight MT Light" w:hAnsi="Footlight MT Light"/>
          <w:b/>
          <w:sz w:val="28"/>
          <w:szCs w:val="28"/>
        </w:rPr>
        <w:t>Arising from Civil Suit No. 0037 of 2018</w:t>
      </w:r>
    </w:p>
    <w:p w:rsidR="000D7CA7" w:rsidRPr="00E35FCF" w:rsidRDefault="000D7CA7" w:rsidP="00E35FCF">
      <w:pPr>
        <w:jc w:val="center"/>
        <w:rPr>
          <w:rFonts w:ascii="Footlight MT Light" w:hAnsi="Footlight MT Light"/>
          <w:b/>
          <w:sz w:val="28"/>
          <w:szCs w:val="28"/>
        </w:rPr>
      </w:pPr>
      <w:r w:rsidRPr="00E35FCF">
        <w:rPr>
          <w:rFonts w:ascii="Footlight MT Light" w:hAnsi="Footlight MT Light"/>
          <w:b/>
          <w:sz w:val="28"/>
          <w:szCs w:val="28"/>
        </w:rPr>
        <w:t>Arising from HCT – 01 – CV – AC – No. 0016 of 2017</w:t>
      </w:r>
    </w:p>
    <w:p w:rsidR="000D7CA7" w:rsidRPr="00E35FCF" w:rsidRDefault="000D7CA7" w:rsidP="00E35FCF">
      <w:pPr>
        <w:jc w:val="center"/>
        <w:rPr>
          <w:rFonts w:ascii="Footlight MT Light" w:hAnsi="Footlight MT Light"/>
          <w:b/>
          <w:sz w:val="28"/>
          <w:szCs w:val="28"/>
        </w:rPr>
      </w:pPr>
      <w:r w:rsidRPr="00E35FCF">
        <w:rPr>
          <w:rFonts w:ascii="Footlight MT Light" w:hAnsi="Footlight MT Light"/>
          <w:b/>
          <w:sz w:val="28"/>
          <w:szCs w:val="28"/>
        </w:rPr>
        <w:t>Arising from HCT – 01 – CV – AC – MA – 0119 OF 2005</w:t>
      </w:r>
    </w:p>
    <w:p w:rsidR="000D7CA7" w:rsidRPr="00E35FCF" w:rsidRDefault="000D7CA7" w:rsidP="00E35FCF">
      <w:pPr>
        <w:jc w:val="center"/>
        <w:rPr>
          <w:rFonts w:ascii="Footlight MT Light" w:hAnsi="Footlight MT Light"/>
          <w:b/>
          <w:sz w:val="28"/>
          <w:szCs w:val="28"/>
        </w:rPr>
      </w:pPr>
      <w:r w:rsidRPr="00E35FCF">
        <w:rPr>
          <w:rFonts w:ascii="Footlight MT Light" w:hAnsi="Footlight MT Light"/>
          <w:b/>
          <w:sz w:val="28"/>
          <w:szCs w:val="28"/>
        </w:rPr>
        <w:t>Arising from Administration Cause No. DR MFP 8/1998</w:t>
      </w:r>
    </w:p>
    <w:p w:rsidR="00E35FCF" w:rsidRPr="00E35FCF" w:rsidRDefault="00E35FCF" w:rsidP="00E35FCF">
      <w:pPr>
        <w:jc w:val="center"/>
        <w:rPr>
          <w:rFonts w:ascii="Footlight MT Light" w:hAnsi="Footlight MT Light"/>
          <w:b/>
          <w:sz w:val="28"/>
          <w:szCs w:val="28"/>
        </w:rPr>
      </w:pPr>
    </w:p>
    <w:p w:rsidR="000D7CA7" w:rsidRPr="00E35FCF" w:rsidRDefault="00CA62ED" w:rsidP="00E35FCF">
      <w:pPr>
        <w:rPr>
          <w:rFonts w:ascii="Footlight MT Light" w:hAnsi="Footlight MT Light"/>
          <w:b/>
          <w:sz w:val="28"/>
          <w:szCs w:val="28"/>
        </w:rPr>
      </w:pPr>
      <w:r>
        <w:rPr>
          <w:rFonts w:ascii="Footlight MT Light" w:hAnsi="Footlight MT Light"/>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4133850</wp:posOffset>
                </wp:positionH>
                <wp:positionV relativeFrom="paragraph">
                  <wp:posOffset>29210</wp:posOffset>
                </wp:positionV>
                <wp:extent cx="90805" cy="1104900"/>
                <wp:effectExtent l="9525" t="9525" r="1397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04900"/>
                        </a:xfrm>
                        <a:prstGeom prst="rightBrace">
                          <a:avLst>
                            <a:gd name="adj1" fmla="val 1013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25.5pt;margin-top:2.3pt;width:7.1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"/>
            </w:pict>
          </mc:Fallback>
        </mc:AlternateContent>
      </w:r>
      <w:r w:rsidR="00E35FCF" w:rsidRPr="00E35FCF">
        <w:rPr>
          <w:rFonts w:ascii="Footlight MT Light" w:hAnsi="Footlight MT Light"/>
          <w:b/>
          <w:sz w:val="28"/>
          <w:szCs w:val="28"/>
        </w:rPr>
        <w:t>1. MOSHE</w:t>
      </w:r>
      <w:r w:rsidR="000D7CA7" w:rsidRPr="00E35FCF">
        <w:rPr>
          <w:rFonts w:ascii="Footlight MT Light" w:hAnsi="Footlight MT Light"/>
          <w:b/>
          <w:sz w:val="28"/>
          <w:szCs w:val="28"/>
        </w:rPr>
        <w:t xml:space="preserve"> MUJOGYA</w:t>
      </w:r>
    </w:p>
    <w:p w:rsidR="000D7CA7" w:rsidRPr="00E35FCF" w:rsidRDefault="000D7CA7" w:rsidP="00E35FCF">
      <w:pPr>
        <w:rPr>
          <w:rFonts w:ascii="Footlight MT Light" w:hAnsi="Footlight MT Light"/>
          <w:b/>
          <w:sz w:val="28"/>
          <w:szCs w:val="28"/>
        </w:rPr>
      </w:pPr>
      <w:r w:rsidRPr="00E35FCF">
        <w:rPr>
          <w:rFonts w:ascii="Footlight MT Light" w:hAnsi="Footlight MT Light"/>
          <w:b/>
          <w:sz w:val="28"/>
          <w:szCs w:val="28"/>
        </w:rPr>
        <w:t>2. STEVEN KISUGA MULINDWA</w:t>
      </w:r>
    </w:p>
    <w:p w:rsidR="000D7CA7" w:rsidRPr="00E35FCF" w:rsidRDefault="000D7CA7" w:rsidP="00E35FCF">
      <w:pPr>
        <w:jc w:val="center"/>
        <w:rPr>
          <w:rFonts w:ascii="Footlight MT Light" w:hAnsi="Footlight MT Light"/>
          <w:b/>
          <w:sz w:val="28"/>
          <w:szCs w:val="28"/>
        </w:rPr>
      </w:pPr>
      <w:r w:rsidRPr="00E35FCF">
        <w:rPr>
          <w:rFonts w:ascii="Footlight MT Light" w:hAnsi="Footlight MT Light"/>
          <w:b/>
          <w:sz w:val="28"/>
          <w:szCs w:val="28"/>
        </w:rPr>
        <w:t>3. ESTATE OF THE LATE GERALD KARAGO MULINDWA</w:t>
      </w:r>
      <w:r w:rsidR="00E35FCF" w:rsidRPr="00E35FCF">
        <w:rPr>
          <w:rFonts w:ascii="Footlight MT Light" w:hAnsi="Footlight MT Light"/>
          <w:b/>
          <w:sz w:val="28"/>
          <w:szCs w:val="28"/>
        </w:rPr>
        <w:t xml:space="preserve">  ..............APPLICANTS</w:t>
      </w:r>
    </w:p>
    <w:p w:rsidR="000D7CA7" w:rsidRPr="00E35FCF" w:rsidRDefault="000D7CA7" w:rsidP="00E35FCF">
      <w:pPr>
        <w:rPr>
          <w:rFonts w:ascii="Footlight MT Light" w:hAnsi="Footlight MT Light"/>
          <w:b/>
          <w:sz w:val="28"/>
          <w:szCs w:val="28"/>
        </w:rPr>
      </w:pPr>
      <w:r w:rsidRPr="00E35FCF">
        <w:rPr>
          <w:rFonts w:ascii="Footlight MT Light" w:hAnsi="Footlight MT Light"/>
          <w:b/>
          <w:sz w:val="28"/>
          <w:szCs w:val="28"/>
        </w:rPr>
        <w:t>4. EMMANUEL KUSAGIKA MULINDWA</w:t>
      </w:r>
    </w:p>
    <w:p w:rsidR="000D7CA7" w:rsidRPr="00E35FCF" w:rsidRDefault="000D7CA7" w:rsidP="00E35FCF">
      <w:pPr>
        <w:jc w:val="center"/>
        <w:rPr>
          <w:rFonts w:ascii="Footlight MT Light" w:hAnsi="Footlight MT Light"/>
          <w:b/>
          <w:sz w:val="28"/>
          <w:szCs w:val="28"/>
        </w:rPr>
      </w:pPr>
      <w:r w:rsidRPr="00E35FCF">
        <w:rPr>
          <w:rFonts w:ascii="Footlight MT Light" w:hAnsi="Footlight MT Light"/>
          <w:b/>
          <w:sz w:val="28"/>
          <w:szCs w:val="28"/>
        </w:rPr>
        <w:t>VERSUS</w:t>
      </w:r>
    </w:p>
    <w:p w:rsidR="000D7CA7" w:rsidRPr="00E35FCF" w:rsidRDefault="00CA62ED" w:rsidP="00E35FCF">
      <w:pPr>
        <w:rPr>
          <w:rFonts w:ascii="Footlight MT Light" w:hAnsi="Footlight MT Light"/>
          <w:b/>
          <w:sz w:val="28"/>
          <w:szCs w:val="28"/>
        </w:rPr>
      </w:pPr>
      <w:r>
        <w:rPr>
          <w:rFonts w:ascii="Footlight MT Light" w:hAnsi="Footlight MT Light"/>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1647825</wp:posOffset>
                </wp:positionH>
                <wp:positionV relativeFrom="paragraph">
                  <wp:posOffset>10160</wp:posOffset>
                </wp:positionV>
                <wp:extent cx="90805" cy="781050"/>
                <wp:effectExtent l="9525" t="9525" r="1397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81050"/>
                        </a:xfrm>
                        <a:prstGeom prst="rightBrace">
                          <a:avLst>
                            <a:gd name="adj1" fmla="val 716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8" style="position:absolute;margin-left:129.75pt;margin-top:.8pt;width:7.1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"/>
            </w:pict>
          </mc:Fallback>
        </mc:AlternateContent>
      </w:r>
      <w:r w:rsidR="00E35FCF" w:rsidRPr="00E35FCF">
        <w:rPr>
          <w:rFonts w:ascii="Footlight MT Light" w:hAnsi="Footlight MT Light"/>
          <w:b/>
          <w:sz w:val="28"/>
          <w:szCs w:val="28"/>
        </w:rPr>
        <w:t>1. SMART</w:t>
      </w:r>
      <w:r w:rsidR="000D7CA7" w:rsidRPr="00E35FCF">
        <w:rPr>
          <w:rFonts w:ascii="Footlight MT Light" w:hAnsi="Footlight MT Light"/>
          <w:b/>
          <w:sz w:val="28"/>
          <w:szCs w:val="28"/>
        </w:rPr>
        <w:t xml:space="preserve"> BWANGO</w:t>
      </w:r>
    </w:p>
    <w:p w:rsidR="000D7CA7" w:rsidRPr="00E35FCF" w:rsidRDefault="000D7CA7" w:rsidP="00E35FCF">
      <w:pPr>
        <w:rPr>
          <w:rFonts w:ascii="Footlight MT Light" w:hAnsi="Footlight MT Light"/>
          <w:b/>
          <w:sz w:val="28"/>
          <w:szCs w:val="28"/>
        </w:rPr>
      </w:pPr>
      <w:r w:rsidRPr="00E35FCF">
        <w:rPr>
          <w:rFonts w:ascii="Footlight MT Light" w:hAnsi="Footlight MT Light"/>
          <w:b/>
          <w:sz w:val="28"/>
          <w:szCs w:val="28"/>
        </w:rPr>
        <w:t>2. JOHN MULINDWA</w:t>
      </w:r>
      <w:r w:rsidR="00E35FCF" w:rsidRPr="00E35FCF">
        <w:rPr>
          <w:rFonts w:ascii="Footlight MT Light" w:hAnsi="Footlight MT Light"/>
          <w:b/>
          <w:sz w:val="28"/>
          <w:szCs w:val="28"/>
        </w:rPr>
        <w:t xml:space="preserve">   ........................................</w:t>
      </w:r>
      <w:r w:rsidR="00E35FCF">
        <w:rPr>
          <w:rFonts w:ascii="Footlight MT Light" w:hAnsi="Footlight MT Light"/>
          <w:b/>
          <w:sz w:val="28"/>
          <w:szCs w:val="28"/>
        </w:rPr>
        <w:t>...............</w:t>
      </w:r>
      <w:r w:rsidR="00E35FCF" w:rsidRPr="00E35FCF">
        <w:rPr>
          <w:rFonts w:ascii="Footlight MT Light" w:hAnsi="Footlight MT Light"/>
          <w:b/>
          <w:sz w:val="28"/>
          <w:szCs w:val="28"/>
        </w:rPr>
        <w:t>............RESPONDENTS</w:t>
      </w:r>
    </w:p>
    <w:p w:rsidR="000D7CA7" w:rsidRPr="00E35FCF" w:rsidRDefault="000D7CA7" w:rsidP="00E35FCF">
      <w:pPr>
        <w:rPr>
          <w:rFonts w:ascii="Footlight MT Light" w:hAnsi="Footlight MT Light"/>
          <w:b/>
          <w:sz w:val="28"/>
          <w:szCs w:val="28"/>
        </w:rPr>
      </w:pPr>
      <w:r w:rsidRPr="00E35FCF">
        <w:rPr>
          <w:rFonts w:ascii="Footlight MT Light" w:hAnsi="Footlight MT Light"/>
          <w:b/>
          <w:sz w:val="28"/>
          <w:szCs w:val="28"/>
        </w:rPr>
        <w:t>3. JENNIFER KAAHWA</w:t>
      </w:r>
    </w:p>
    <w:p w:rsidR="00E35FCF" w:rsidRDefault="00E35FCF">
      <w:pPr>
        <w:rPr>
          <w:rFonts w:ascii="Footlight MT Light" w:hAnsi="Footlight MT Light"/>
          <w:b/>
          <w:sz w:val="28"/>
          <w:szCs w:val="28"/>
        </w:rPr>
      </w:pPr>
    </w:p>
    <w:p w:rsidR="000D7CA7" w:rsidRPr="00E35FCF" w:rsidRDefault="000D7CA7" w:rsidP="00E35FCF">
      <w:pPr>
        <w:jc w:val="both"/>
        <w:rPr>
          <w:rFonts w:ascii="Footlight MT Light" w:hAnsi="Footlight MT Light"/>
          <w:b/>
          <w:sz w:val="28"/>
          <w:szCs w:val="28"/>
        </w:rPr>
      </w:pPr>
      <w:r w:rsidRPr="00E35FCF">
        <w:rPr>
          <w:rFonts w:ascii="Footlight MT Light" w:hAnsi="Footlight MT Light"/>
          <w:b/>
          <w:sz w:val="28"/>
          <w:szCs w:val="28"/>
        </w:rPr>
        <w:t>BEFORE: HIS LORDSHIP HON. MR. WILSON MASALU MUSENE</w:t>
      </w:r>
    </w:p>
    <w:p w:rsidR="000D7CA7" w:rsidRPr="00E35FCF" w:rsidRDefault="000D7CA7" w:rsidP="00E35FCF">
      <w:pPr>
        <w:jc w:val="center"/>
        <w:rPr>
          <w:rFonts w:ascii="Footlight MT Light" w:hAnsi="Footlight MT Light"/>
          <w:b/>
          <w:sz w:val="28"/>
          <w:szCs w:val="28"/>
          <w:u w:val="single"/>
        </w:rPr>
      </w:pPr>
      <w:r w:rsidRPr="00E35FCF">
        <w:rPr>
          <w:rFonts w:ascii="Footlight MT Light" w:hAnsi="Footlight MT Light"/>
          <w:b/>
          <w:sz w:val="28"/>
          <w:szCs w:val="28"/>
          <w:u w:val="single"/>
        </w:rPr>
        <w:t>Ruling</w:t>
      </w:r>
    </w:p>
    <w:p w:rsidR="00E35FCF" w:rsidRDefault="00E35FCF" w:rsidP="00E35FCF">
      <w:pPr>
        <w:jc w:val="both"/>
        <w:rPr>
          <w:rFonts w:ascii="Footlight MT Light" w:hAnsi="Footlight MT Light"/>
          <w:sz w:val="28"/>
          <w:szCs w:val="28"/>
        </w:rPr>
      </w:pPr>
      <w:r>
        <w:rPr>
          <w:rFonts w:ascii="Footlight MT Light" w:hAnsi="Footlight MT Light"/>
          <w:sz w:val="28"/>
          <w:szCs w:val="28"/>
        </w:rPr>
        <w:t xml:space="preserve">This is an Application by Chamber Summons under </w:t>
      </w:r>
      <w:r w:rsidRPr="00E35FCF">
        <w:rPr>
          <w:rFonts w:ascii="Footlight MT Light" w:hAnsi="Footlight MT Light"/>
          <w:b/>
          <w:sz w:val="28"/>
          <w:szCs w:val="28"/>
        </w:rPr>
        <w:t>Order XLI Rule 1(a)</w:t>
      </w:r>
      <w:r>
        <w:rPr>
          <w:rFonts w:ascii="Footlight MT Light" w:hAnsi="Footlight MT Light"/>
          <w:sz w:val="28"/>
          <w:szCs w:val="28"/>
        </w:rPr>
        <w:t xml:space="preserve"> of the Civil Procedure Rules and </w:t>
      </w:r>
      <w:r w:rsidRPr="00E35FCF">
        <w:rPr>
          <w:rFonts w:ascii="Footlight MT Light" w:hAnsi="Footlight MT Light"/>
          <w:b/>
          <w:sz w:val="28"/>
          <w:szCs w:val="28"/>
        </w:rPr>
        <w:t>Section 98</w:t>
      </w:r>
      <w:r>
        <w:rPr>
          <w:rFonts w:ascii="Footlight MT Light" w:hAnsi="Footlight MT Light"/>
          <w:sz w:val="28"/>
          <w:szCs w:val="28"/>
        </w:rPr>
        <w:t xml:space="preserve"> of the Civil Procedure Act. The A</w:t>
      </w:r>
      <w:r w:rsidR="004960C5">
        <w:rPr>
          <w:rFonts w:ascii="Footlight MT Light" w:hAnsi="Footlight MT Light"/>
          <w:sz w:val="28"/>
          <w:szCs w:val="28"/>
        </w:rPr>
        <w:t>pplication seeks for the following orders</w:t>
      </w:r>
      <w:r>
        <w:rPr>
          <w:rFonts w:ascii="Footlight MT Light" w:hAnsi="Footlight MT Light"/>
          <w:sz w:val="28"/>
          <w:szCs w:val="28"/>
        </w:rPr>
        <w:t>;</w:t>
      </w:r>
    </w:p>
    <w:p w:rsidR="002A61F2" w:rsidRDefault="00E35FCF" w:rsidP="00E35FCF">
      <w:pPr>
        <w:pStyle w:val="ListParagraph"/>
        <w:numPr>
          <w:ilvl w:val="0"/>
          <w:numId w:val="1"/>
        </w:numPr>
        <w:jc w:val="both"/>
        <w:rPr>
          <w:rFonts w:ascii="Footlight MT Light" w:hAnsi="Footlight MT Light"/>
          <w:sz w:val="28"/>
          <w:szCs w:val="28"/>
        </w:rPr>
      </w:pPr>
      <w:r>
        <w:rPr>
          <w:rFonts w:ascii="Footlight MT Light" w:hAnsi="Footlight MT Light"/>
          <w:sz w:val="28"/>
          <w:szCs w:val="28"/>
        </w:rPr>
        <w:t xml:space="preserve">That a temporary injunction be issued </w:t>
      </w:r>
      <w:r w:rsidR="002A61F2">
        <w:rPr>
          <w:rFonts w:ascii="Footlight MT Light" w:hAnsi="Footlight MT Light"/>
          <w:sz w:val="28"/>
          <w:szCs w:val="28"/>
        </w:rPr>
        <w:t>restraining the Respondents/Defendants by themselves, their servants/agents or any person acting on their behalf from any further construction of buildings on any land belonging to the estate of the late Yakobo. R. K. Mulindwa and not to alienate or effect any transfer or proprietorship of any land belonging to the estate. And also not to sell, dispose off any property belonging to the said estate.</w:t>
      </w:r>
    </w:p>
    <w:p w:rsidR="005C0047" w:rsidRDefault="002A61F2" w:rsidP="00E35FCF">
      <w:pPr>
        <w:pStyle w:val="ListParagraph"/>
        <w:numPr>
          <w:ilvl w:val="0"/>
          <w:numId w:val="1"/>
        </w:numPr>
        <w:jc w:val="both"/>
        <w:rPr>
          <w:rFonts w:ascii="Footlight MT Light" w:hAnsi="Footlight MT Light"/>
          <w:sz w:val="28"/>
          <w:szCs w:val="28"/>
        </w:rPr>
      </w:pPr>
      <w:r>
        <w:rPr>
          <w:rFonts w:ascii="Footlight MT Light" w:hAnsi="Footlight MT Light"/>
          <w:sz w:val="28"/>
          <w:szCs w:val="28"/>
        </w:rPr>
        <w:lastRenderedPageBreak/>
        <w:t xml:space="preserve">That cost of this application be provided by the Respondents herein. </w:t>
      </w:r>
    </w:p>
    <w:p w:rsidR="005C0047" w:rsidRDefault="005C0047" w:rsidP="005C0047">
      <w:pPr>
        <w:jc w:val="both"/>
        <w:rPr>
          <w:rFonts w:ascii="Footlight MT Light" w:hAnsi="Footlight MT Light"/>
          <w:sz w:val="28"/>
          <w:szCs w:val="28"/>
        </w:rPr>
      </w:pPr>
      <w:r>
        <w:rPr>
          <w:rFonts w:ascii="Footlight MT Light" w:hAnsi="Footlight MT Light"/>
          <w:sz w:val="28"/>
          <w:szCs w:val="28"/>
        </w:rPr>
        <w:t>The application is supported by the affidavit sworn by the Applicant and the grounds briefly are as follows;</w:t>
      </w:r>
    </w:p>
    <w:p w:rsidR="005C0047" w:rsidRDefault="005C0047" w:rsidP="005C0047">
      <w:pPr>
        <w:pStyle w:val="ListParagraph"/>
        <w:numPr>
          <w:ilvl w:val="0"/>
          <w:numId w:val="2"/>
        </w:numPr>
        <w:jc w:val="both"/>
        <w:rPr>
          <w:rFonts w:ascii="Footlight MT Light" w:hAnsi="Footlight MT Light"/>
          <w:sz w:val="28"/>
          <w:szCs w:val="28"/>
        </w:rPr>
      </w:pPr>
      <w:r>
        <w:rPr>
          <w:rFonts w:ascii="Footlight MT Light" w:hAnsi="Footlight MT Light"/>
          <w:sz w:val="28"/>
          <w:szCs w:val="28"/>
        </w:rPr>
        <w:t>The Applicants have sued the Respondents vide Civil Suit No. 37 of 2018 seeking revocation of Letters of Administration held by the Respondent following abuse of authority and mismanagement of estate.</w:t>
      </w:r>
    </w:p>
    <w:p w:rsidR="00FB6297" w:rsidRDefault="005C0047" w:rsidP="005C0047">
      <w:pPr>
        <w:pStyle w:val="ListParagraph"/>
        <w:numPr>
          <w:ilvl w:val="0"/>
          <w:numId w:val="2"/>
        </w:numPr>
        <w:jc w:val="both"/>
        <w:rPr>
          <w:rFonts w:ascii="Footlight MT Light" w:hAnsi="Footlight MT Light"/>
          <w:sz w:val="28"/>
          <w:szCs w:val="28"/>
        </w:rPr>
      </w:pPr>
      <w:r>
        <w:rPr>
          <w:rFonts w:ascii="Footlight MT Light" w:hAnsi="Footlight MT Light"/>
          <w:sz w:val="28"/>
          <w:szCs w:val="28"/>
        </w:rPr>
        <w:t xml:space="preserve">That the property to the estate is in danger </w:t>
      </w:r>
      <w:r w:rsidR="00FB6297">
        <w:rPr>
          <w:rFonts w:ascii="Footlight MT Light" w:hAnsi="Footlight MT Light"/>
          <w:sz w:val="28"/>
          <w:szCs w:val="28"/>
        </w:rPr>
        <w:t>of being wasted, damaged, disposed and alienated.</w:t>
      </w:r>
    </w:p>
    <w:p w:rsidR="00FB6297" w:rsidRDefault="00FB6297" w:rsidP="005C0047">
      <w:pPr>
        <w:pStyle w:val="ListParagraph"/>
        <w:numPr>
          <w:ilvl w:val="0"/>
          <w:numId w:val="2"/>
        </w:numPr>
        <w:jc w:val="both"/>
        <w:rPr>
          <w:rFonts w:ascii="Footlight MT Light" w:hAnsi="Footlight MT Light"/>
          <w:sz w:val="28"/>
          <w:szCs w:val="28"/>
        </w:rPr>
      </w:pPr>
      <w:r>
        <w:rPr>
          <w:rFonts w:ascii="Footlight MT Light" w:hAnsi="Footlight MT Light"/>
          <w:sz w:val="28"/>
          <w:szCs w:val="28"/>
        </w:rPr>
        <w:t>That if the application is not granted, the applicants will suffer irreparable damage.</w:t>
      </w:r>
    </w:p>
    <w:p w:rsidR="00FB6297" w:rsidRDefault="00FB6297" w:rsidP="005C0047">
      <w:pPr>
        <w:pStyle w:val="ListParagraph"/>
        <w:numPr>
          <w:ilvl w:val="0"/>
          <w:numId w:val="2"/>
        </w:numPr>
        <w:jc w:val="both"/>
        <w:rPr>
          <w:rFonts w:ascii="Footlight MT Light" w:hAnsi="Footlight MT Light"/>
          <w:sz w:val="28"/>
          <w:szCs w:val="28"/>
        </w:rPr>
      </w:pPr>
      <w:r>
        <w:rPr>
          <w:rFonts w:ascii="Footlight MT Light" w:hAnsi="Footlight MT Light"/>
          <w:sz w:val="28"/>
          <w:szCs w:val="28"/>
        </w:rPr>
        <w:t xml:space="preserve">That the suit will be rendered nugatory if this application is not allowed. </w:t>
      </w:r>
    </w:p>
    <w:p w:rsidR="00FB6297" w:rsidRDefault="00FB6297" w:rsidP="005C0047">
      <w:pPr>
        <w:pStyle w:val="ListParagraph"/>
        <w:numPr>
          <w:ilvl w:val="0"/>
          <w:numId w:val="2"/>
        </w:numPr>
        <w:jc w:val="both"/>
        <w:rPr>
          <w:rFonts w:ascii="Footlight MT Light" w:hAnsi="Footlight MT Light"/>
          <w:sz w:val="28"/>
          <w:szCs w:val="28"/>
        </w:rPr>
      </w:pPr>
      <w:r>
        <w:rPr>
          <w:rFonts w:ascii="Footlight MT Light" w:hAnsi="Footlight MT Light"/>
          <w:sz w:val="28"/>
          <w:szCs w:val="28"/>
        </w:rPr>
        <w:t>That the applicants have a high chance of success in the main suit.</w:t>
      </w:r>
    </w:p>
    <w:p w:rsidR="00FB6297" w:rsidRDefault="00FB6297" w:rsidP="005C0047">
      <w:pPr>
        <w:pStyle w:val="ListParagraph"/>
        <w:numPr>
          <w:ilvl w:val="0"/>
          <w:numId w:val="2"/>
        </w:numPr>
        <w:jc w:val="both"/>
        <w:rPr>
          <w:rFonts w:ascii="Footlight MT Light" w:hAnsi="Footlight MT Light"/>
          <w:sz w:val="28"/>
          <w:szCs w:val="28"/>
        </w:rPr>
      </w:pPr>
      <w:r>
        <w:rPr>
          <w:rFonts w:ascii="Footlight MT Light" w:hAnsi="Footlight MT Light"/>
          <w:sz w:val="28"/>
          <w:szCs w:val="28"/>
        </w:rPr>
        <w:t>That the justice of the case demands that this amended plaint be rejected by Court.</w:t>
      </w:r>
    </w:p>
    <w:p w:rsidR="00635B03" w:rsidRDefault="00CD6080" w:rsidP="00FB6297">
      <w:pPr>
        <w:jc w:val="both"/>
        <w:rPr>
          <w:rFonts w:ascii="Footlight MT Light" w:hAnsi="Footlight MT Light"/>
          <w:sz w:val="28"/>
          <w:szCs w:val="28"/>
        </w:rPr>
      </w:pPr>
      <w:r>
        <w:rPr>
          <w:rFonts w:ascii="Footlight MT Light" w:hAnsi="Footlight MT Light"/>
          <w:sz w:val="28"/>
          <w:szCs w:val="28"/>
        </w:rPr>
        <w:t xml:space="preserve">M/s Bahenzire, Kwikiriza &amp; Co. Advocates represented the Applicants and M/s Mugabe-Luleti </w:t>
      </w:r>
      <w:r w:rsidR="00E36A89">
        <w:rPr>
          <w:rFonts w:ascii="Footlight MT Light" w:hAnsi="Footlight MT Light"/>
          <w:sz w:val="28"/>
          <w:szCs w:val="28"/>
        </w:rPr>
        <w:t>&amp; Co. Advocates</w:t>
      </w:r>
      <w:r w:rsidR="00635B03">
        <w:rPr>
          <w:rFonts w:ascii="Footlight MT Light" w:hAnsi="Footlight MT Light"/>
          <w:sz w:val="28"/>
          <w:szCs w:val="28"/>
        </w:rPr>
        <w:t xml:space="preserve"> represented the Respondent. By consent both parties filed written submission.</w:t>
      </w:r>
    </w:p>
    <w:p w:rsidR="00D71957" w:rsidRDefault="00BA198D" w:rsidP="00FB6297">
      <w:pPr>
        <w:jc w:val="both"/>
        <w:rPr>
          <w:rFonts w:ascii="Footlight MT Light" w:hAnsi="Footlight MT Light"/>
          <w:sz w:val="28"/>
          <w:szCs w:val="28"/>
        </w:rPr>
      </w:pPr>
      <w:r>
        <w:rPr>
          <w:rFonts w:ascii="Footlight MT Light" w:hAnsi="Footlight MT Light"/>
          <w:sz w:val="28"/>
          <w:szCs w:val="28"/>
        </w:rPr>
        <w:t xml:space="preserve">Counsel for the Applicants submitted that the Respondents without the knowledge and consent of the Applicants and before the distribution of the estate, entered Block 46 Plot 15 </w:t>
      </w:r>
      <w:r w:rsidR="00893207">
        <w:rPr>
          <w:rFonts w:ascii="Footlight MT Light" w:hAnsi="Footlight MT Light"/>
          <w:sz w:val="28"/>
          <w:szCs w:val="28"/>
        </w:rPr>
        <w:t xml:space="preserve">land at Buraika, Burahya, Kabarole District measuring 25.6 hectares and proceeded to construct thereon a permanent house which is complete. </w:t>
      </w:r>
      <w:r w:rsidR="006574EA">
        <w:rPr>
          <w:rFonts w:ascii="Footlight MT Light" w:hAnsi="Footlight MT Light"/>
          <w:sz w:val="28"/>
          <w:szCs w:val="28"/>
        </w:rPr>
        <w:t xml:space="preserve">That the suit property was allegedly swapped between Dr. Julius Kasande, Jimmy Nkurumah, Mulindwa John and Kagoro Gilbert without any consideration for the Applicants’ beneficial interest. That proprietorship </w:t>
      </w:r>
      <w:r w:rsidR="00D71957">
        <w:rPr>
          <w:rFonts w:ascii="Footlight MT Light" w:hAnsi="Footlight MT Light"/>
          <w:sz w:val="28"/>
          <w:szCs w:val="28"/>
        </w:rPr>
        <w:t xml:space="preserve">of the said property is currently under the names of the Respondents as the Administrators of the estate of the late Yakobo R.K. Mulindwa. </w:t>
      </w:r>
    </w:p>
    <w:p w:rsidR="00E35FCF" w:rsidRDefault="00D71957" w:rsidP="00FB6297">
      <w:pPr>
        <w:jc w:val="both"/>
        <w:rPr>
          <w:rFonts w:ascii="Footlight MT Light" w:hAnsi="Footlight MT Light"/>
          <w:sz w:val="28"/>
          <w:szCs w:val="28"/>
        </w:rPr>
      </w:pPr>
      <w:r>
        <w:rPr>
          <w:rFonts w:ascii="Footlight MT Light" w:hAnsi="Footlight MT Light"/>
          <w:sz w:val="28"/>
          <w:szCs w:val="28"/>
        </w:rPr>
        <w:t xml:space="preserve">And in the case of </w:t>
      </w:r>
      <w:r w:rsidRPr="00D71957">
        <w:rPr>
          <w:rFonts w:ascii="Footlight MT Light" w:hAnsi="Footlight MT Light"/>
          <w:b/>
          <w:sz w:val="28"/>
          <w:szCs w:val="28"/>
        </w:rPr>
        <w:t>Gapco Uganda Ltd versus Kweesa &amp; Another, M.A No. 259 of 2013, [2013] UGHCLD 47</w:t>
      </w:r>
      <w:r>
        <w:rPr>
          <w:rFonts w:ascii="Footlight MT Light" w:hAnsi="Footlight MT Light"/>
          <w:sz w:val="28"/>
          <w:szCs w:val="28"/>
        </w:rPr>
        <w:t xml:space="preserve"> citing </w:t>
      </w:r>
      <w:r w:rsidRPr="00D71957">
        <w:rPr>
          <w:rFonts w:ascii="Footlight MT Light" w:hAnsi="Footlight MT Light"/>
          <w:b/>
          <w:sz w:val="28"/>
          <w:szCs w:val="28"/>
        </w:rPr>
        <w:t>E.L.T. Kiyimba Kaggwa versus Hajji Abdu Nasser Katende [1985] HCB 43</w:t>
      </w:r>
      <w:r>
        <w:rPr>
          <w:rFonts w:ascii="Footlight MT Light" w:hAnsi="Footlight MT Light"/>
          <w:sz w:val="28"/>
          <w:szCs w:val="28"/>
        </w:rPr>
        <w:t xml:space="preserve">, where Odoki J. (as he then was) laid down the rules of granting a temporary </w:t>
      </w:r>
      <w:r w:rsidR="009B61B0">
        <w:rPr>
          <w:rFonts w:ascii="Footlight MT Light" w:hAnsi="Footlight MT Light"/>
          <w:sz w:val="28"/>
          <w:szCs w:val="28"/>
        </w:rPr>
        <w:t xml:space="preserve">injunction as thus; </w:t>
      </w:r>
    </w:p>
    <w:p w:rsidR="009B61B0" w:rsidRDefault="009B61B0" w:rsidP="009B61B0">
      <w:pPr>
        <w:pStyle w:val="ListParagraph"/>
        <w:numPr>
          <w:ilvl w:val="0"/>
          <w:numId w:val="3"/>
        </w:numPr>
        <w:jc w:val="both"/>
        <w:rPr>
          <w:rFonts w:ascii="Footlight MT Light" w:hAnsi="Footlight MT Light"/>
          <w:sz w:val="28"/>
          <w:szCs w:val="28"/>
        </w:rPr>
      </w:pPr>
      <w:r>
        <w:rPr>
          <w:rFonts w:ascii="Footlight MT Light" w:hAnsi="Footlight MT Light"/>
          <w:sz w:val="28"/>
          <w:szCs w:val="28"/>
        </w:rPr>
        <w:t>The granting of a temporary injunction is an exercise of judicial discretion and the purpose of granting it is to preserve the matters in the status quo until the question to be investigated in the main suit is finally disposed of.</w:t>
      </w:r>
    </w:p>
    <w:p w:rsidR="00E43771" w:rsidRDefault="009B61B0" w:rsidP="00E43771">
      <w:pPr>
        <w:pStyle w:val="ListParagraph"/>
        <w:numPr>
          <w:ilvl w:val="0"/>
          <w:numId w:val="3"/>
        </w:numPr>
        <w:jc w:val="both"/>
        <w:rPr>
          <w:rFonts w:ascii="Footlight MT Light" w:hAnsi="Footlight MT Light"/>
          <w:sz w:val="28"/>
          <w:szCs w:val="28"/>
        </w:rPr>
      </w:pPr>
      <w:r>
        <w:rPr>
          <w:rFonts w:ascii="Footlight MT Light" w:hAnsi="Footlight MT Light"/>
          <w:sz w:val="28"/>
          <w:szCs w:val="28"/>
        </w:rPr>
        <w:t xml:space="preserve">The conditions for the grant of the interlocutory </w:t>
      </w:r>
      <w:r w:rsidR="00E43771">
        <w:rPr>
          <w:rFonts w:ascii="Footlight MT Light" w:hAnsi="Footlight MT Light"/>
          <w:sz w:val="28"/>
          <w:szCs w:val="28"/>
        </w:rPr>
        <w:t>injunction are:</w:t>
      </w:r>
    </w:p>
    <w:p w:rsidR="00E43771" w:rsidRDefault="00E43771" w:rsidP="00E43771">
      <w:pPr>
        <w:pStyle w:val="ListParagraph"/>
        <w:numPr>
          <w:ilvl w:val="0"/>
          <w:numId w:val="4"/>
        </w:numPr>
        <w:jc w:val="both"/>
        <w:rPr>
          <w:rFonts w:ascii="Footlight MT Light" w:hAnsi="Footlight MT Light"/>
          <w:sz w:val="28"/>
          <w:szCs w:val="28"/>
        </w:rPr>
      </w:pPr>
      <w:r>
        <w:rPr>
          <w:rFonts w:ascii="Footlight MT Light" w:hAnsi="Footlight MT Light"/>
          <w:sz w:val="28"/>
          <w:szCs w:val="28"/>
        </w:rPr>
        <w:lastRenderedPageBreak/>
        <w:t>That the Applicant must show a prima facie case with possibilit</w:t>
      </w:r>
      <w:r w:rsidR="00A57980">
        <w:rPr>
          <w:rFonts w:ascii="Footlight MT Light" w:hAnsi="Footlight MT Light"/>
          <w:sz w:val="28"/>
          <w:szCs w:val="28"/>
        </w:rPr>
        <w:t>y of success.</w:t>
      </w:r>
    </w:p>
    <w:p w:rsidR="00A57980" w:rsidRDefault="00A57980" w:rsidP="00E43771">
      <w:pPr>
        <w:pStyle w:val="ListParagraph"/>
        <w:numPr>
          <w:ilvl w:val="0"/>
          <w:numId w:val="4"/>
        </w:numPr>
        <w:jc w:val="both"/>
        <w:rPr>
          <w:rFonts w:ascii="Footlight MT Light" w:hAnsi="Footlight MT Light"/>
          <w:sz w:val="28"/>
          <w:szCs w:val="28"/>
        </w:rPr>
      </w:pPr>
      <w:r>
        <w:rPr>
          <w:rFonts w:ascii="Footlight MT Light" w:hAnsi="Footlight MT Light"/>
          <w:sz w:val="28"/>
          <w:szCs w:val="28"/>
        </w:rPr>
        <w:t>That such injunction will not normally be granted unless the Applicant might otherwise suffer irreparable injury which would not adequately be compensated by an award of damages.</w:t>
      </w:r>
    </w:p>
    <w:p w:rsidR="00A57980" w:rsidRDefault="00A57980" w:rsidP="00E43771">
      <w:pPr>
        <w:pStyle w:val="ListParagraph"/>
        <w:numPr>
          <w:ilvl w:val="0"/>
          <w:numId w:val="4"/>
        </w:numPr>
        <w:jc w:val="both"/>
        <w:rPr>
          <w:rFonts w:ascii="Footlight MT Light" w:hAnsi="Footlight MT Light"/>
          <w:sz w:val="28"/>
          <w:szCs w:val="28"/>
        </w:rPr>
      </w:pPr>
      <w:r>
        <w:rPr>
          <w:rFonts w:ascii="Footlight MT Light" w:hAnsi="Footlight MT Light"/>
          <w:sz w:val="28"/>
          <w:szCs w:val="28"/>
        </w:rPr>
        <w:t>Thirdly, if the Court is in doubt, it would decide an application on the balance of convenience.</w:t>
      </w:r>
    </w:p>
    <w:p w:rsidR="00A57980" w:rsidRDefault="00D246F1" w:rsidP="00A57980">
      <w:pPr>
        <w:jc w:val="both"/>
        <w:rPr>
          <w:rFonts w:ascii="Footlight MT Light" w:hAnsi="Footlight MT Light"/>
          <w:sz w:val="28"/>
          <w:szCs w:val="28"/>
        </w:rPr>
      </w:pPr>
      <w:r>
        <w:rPr>
          <w:rFonts w:ascii="Footlight MT Light" w:hAnsi="Footlight MT Light"/>
          <w:sz w:val="28"/>
          <w:szCs w:val="28"/>
        </w:rPr>
        <w:t xml:space="preserve">Counsel for the Applicants added that the matter before this Court is a clear and strong case with serious question to be investigated, tried and determined by this Court. The case concerns mismanagement of authority and the estate by the Respondents in their capacity as Administrators of the estate of the late Yakobo R.K.Mulindwa with issues to determine such as whether there has been a distribution of the estate or not, whether the authority of the Respondents as the Administrators is still valid. That the Applicants also seek revocation of Letters of Administration and appointment of new administrators. </w:t>
      </w:r>
    </w:p>
    <w:p w:rsidR="0091389F" w:rsidRDefault="00D246F1" w:rsidP="00A57980">
      <w:pPr>
        <w:jc w:val="both"/>
        <w:rPr>
          <w:rFonts w:ascii="Footlight MT Light" w:hAnsi="Footlight MT Light"/>
          <w:sz w:val="28"/>
          <w:szCs w:val="28"/>
        </w:rPr>
      </w:pPr>
      <w:r>
        <w:rPr>
          <w:rFonts w:ascii="Footlight MT Light" w:hAnsi="Footlight MT Light"/>
          <w:sz w:val="28"/>
          <w:szCs w:val="28"/>
        </w:rPr>
        <w:t xml:space="preserve">Further, that a monetary figure may be placed on the financial loss that the Applicant’s may suffer by the high handed attempts of the Respondents/Defendants to deprive them of their constitutional right of inheritance on the suit property but; the property which is in dispute may be valued in monetary </w:t>
      </w:r>
      <w:r w:rsidR="005A54FB">
        <w:rPr>
          <w:rFonts w:ascii="Footlight MT Light" w:hAnsi="Footlight MT Light"/>
          <w:sz w:val="28"/>
          <w:szCs w:val="28"/>
        </w:rPr>
        <w:t xml:space="preserve">terms, however, the Applicants’ loss of the good will entrenched in the suit land and subsequent dent on its reputation as a result of the illegal activities of the Respondents cannot be adequately atoned by any award of damages. </w:t>
      </w:r>
    </w:p>
    <w:p w:rsidR="005B627C" w:rsidRDefault="005A54FB" w:rsidP="00A57980">
      <w:pPr>
        <w:jc w:val="both"/>
        <w:rPr>
          <w:rFonts w:ascii="Footlight MT Light" w:hAnsi="Footlight MT Light"/>
          <w:sz w:val="28"/>
          <w:szCs w:val="28"/>
        </w:rPr>
      </w:pPr>
      <w:r>
        <w:rPr>
          <w:rFonts w:ascii="Footlight MT Light" w:hAnsi="Footlight MT Light"/>
          <w:sz w:val="28"/>
          <w:szCs w:val="28"/>
        </w:rPr>
        <w:t xml:space="preserve">That it is trite law that if the Court is in doubt of any of the above two principles (establishing a prima facie case and whether the Applicant will suffer irreparable damage that cannot be atoned for in damages), it will decide the application on the balance of convenience. </w:t>
      </w:r>
      <w:r w:rsidR="005B627C">
        <w:rPr>
          <w:rFonts w:ascii="Footlight MT Light" w:hAnsi="Footlight MT Light"/>
          <w:sz w:val="28"/>
          <w:szCs w:val="28"/>
        </w:rPr>
        <w:t>Counsel conclude</w:t>
      </w:r>
      <w:r w:rsidR="007E5808">
        <w:rPr>
          <w:rFonts w:ascii="Footlight MT Light" w:hAnsi="Footlight MT Light"/>
          <w:sz w:val="28"/>
          <w:szCs w:val="28"/>
        </w:rPr>
        <w:t>d</w:t>
      </w:r>
      <w:r w:rsidR="005B627C">
        <w:rPr>
          <w:rFonts w:ascii="Footlight MT Light" w:hAnsi="Footlight MT Light"/>
          <w:sz w:val="28"/>
          <w:szCs w:val="28"/>
        </w:rPr>
        <w:t xml:space="preserve"> that the in the instant case, a prima facie case has been established and it has also been shown by the Applicants that no amount of compensation in damages will atone the damage they will suffer if the application is not allowed. Therefore, it is just, fair and equitable that the application is allowed. </w:t>
      </w:r>
    </w:p>
    <w:p w:rsidR="007E5808" w:rsidRDefault="005B627C" w:rsidP="00A57980">
      <w:pPr>
        <w:jc w:val="both"/>
        <w:rPr>
          <w:rFonts w:ascii="Footlight MT Light" w:hAnsi="Footlight MT Light"/>
          <w:sz w:val="28"/>
          <w:szCs w:val="28"/>
        </w:rPr>
      </w:pPr>
      <w:r>
        <w:rPr>
          <w:rFonts w:ascii="Footlight MT Light" w:hAnsi="Footlight MT Light"/>
          <w:sz w:val="28"/>
          <w:szCs w:val="28"/>
        </w:rPr>
        <w:t xml:space="preserve">Counsel for the Respondents on the other hand submitted that </w:t>
      </w:r>
      <w:r w:rsidR="00030834">
        <w:rPr>
          <w:rFonts w:ascii="Footlight MT Light" w:hAnsi="Footlight MT Light"/>
          <w:sz w:val="28"/>
          <w:szCs w:val="28"/>
        </w:rPr>
        <w:t>there is no danger posed to the estate warranting the grant of this application since the 1</w:t>
      </w:r>
      <w:r w:rsidR="00030834" w:rsidRPr="00030834">
        <w:rPr>
          <w:rFonts w:ascii="Footlight MT Light" w:hAnsi="Footlight MT Light"/>
          <w:sz w:val="28"/>
          <w:szCs w:val="28"/>
          <w:vertAlign w:val="superscript"/>
        </w:rPr>
        <w:t>st</w:t>
      </w:r>
      <w:r w:rsidR="00030834">
        <w:rPr>
          <w:rFonts w:ascii="Footlight MT Light" w:hAnsi="Footlight MT Light"/>
          <w:sz w:val="28"/>
          <w:szCs w:val="28"/>
        </w:rPr>
        <w:t xml:space="preserve"> Applicant already lodged a caveat on the suit land and that alone suffices to stop any alienation or dealing whatsoever on the said land hence rendering this application academic and of no use. </w:t>
      </w:r>
    </w:p>
    <w:p w:rsidR="00557C17" w:rsidRDefault="00030834" w:rsidP="00A57980">
      <w:pPr>
        <w:jc w:val="both"/>
        <w:rPr>
          <w:rFonts w:ascii="Footlight MT Light" w:hAnsi="Footlight MT Light"/>
          <w:sz w:val="28"/>
          <w:szCs w:val="28"/>
        </w:rPr>
      </w:pPr>
      <w:r>
        <w:rPr>
          <w:rFonts w:ascii="Footlight MT Light" w:hAnsi="Footlight MT Light"/>
          <w:sz w:val="28"/>
          <w:szCs w:val="28"/>
        </w:rPr>
        <w:lastRenderedPageBreak/>
        <w:t xml:space="preserve">In regard to the house, counsel for the Respondents submitted that the same is currently in the hands of Dr. Julius Kasande, a beneficiary of the estate of Y.R.K. Mulindwa and a biological brother to the Applicants. That the Applicants were being untruthful since there is a will that was annexed to their affidavit in reply in which Dr. Julius Kasande was bequeathed all the land at Kanyamakere on which the deceased’s homestead was. </w:t>
      </w:r>
      <w:r w:rsidR="00D331DC">
        <w:rPr>
          <w:rFonts w:ascii="Footlight MT Light" w:hAnsi="Footlight MT Light"/>
          <w:sz w:val="28"/>
          <w:szCs w:val="28"/>
        </w:rPr>
        <w:t xml:space="preserve">That annexture “C” confirmed that the said Julius Kasande was given the family home and the kibanja at Kanyamakere. That the essence of annexture “C” was for the Respondents to apply for letters of administration to administer the unadministered part of the estate. The Respondents were then to distribute the remaining properties of the estate that is, 62 acres of farm land at Baraika to all the beneficiaries. </w:t>
      </w:r>
    </w:p>
    <w:p w:rsidR="00751070" w:rsidRDefault="00557C17" w:rsidP="00A57980">
      <w:pPr>
        <w:jc w:val="both"/>
        <w:rPr>
          <w:rFonts w:ascii="Footlight MT Light" w:hAnsi="Footlight MT Light"/>
          <w:sz w:val="28"/>
          <w:szCs w:val="28"/>
        </w:rPr>
      </w:pPr>
      <w:r>
        <w:rPr>
          <w:rFonts w:ascii="Footlight MT Light" w:hAnsi="Footlight MT Light"/>
          <w:sz w:val="28"/>
          <w:szCs w:val="28"/>
        </w:rPr>
        <w:t xml:space="preserve">Further, that Annexture “C” was voluntarily signed by the Applicants and they now cannot turn around and claim their brother’s land in addition to what they are entitled to in the unadministered part. That in the circumstances the will that bequeathed to Dr. Kasande is still valid and he can use it as he pleases. That the estate was distributed by the Respondents to the various beneficiaries who include the Applicants </w:t>
      </w:r>
      <w:r w:rsidR="008F7799">
        <w:rPr>
          <w:rFonts w:ascii="Footlight MT Light" w:hAnsi="Footlight MT Light"/>
          <w:sz w:val="28"/>
          <w:szCs w:val="28"/>
        </w:rPr>
        <w:t xml:space="preserve">in the instant application who are occupying part of the land at Baraika and have a permanent house therein. </w:t>
      </w:r>
      <w:r w:rsidR="006F7B7A">
        <w:rPr>
          <w:rFonts w:ascii="Footlight MT Light" w:hAnsi="Footlight MT Light"/>
          <w:sz w:val="28"/>
          <w:szCs w:val="28"/>
        </w:rPr>
        <w:t xml:space="preserve">That some of the beneficiaries exchanged their respective pieces of land since distribution was effected and that all that is left is the Respondents registering themselves on the land as administrators of the estate of the late Y.R.K. Mulindwa and </w:t>
      </w:r>
      <w:r w:rsidR="007E5808">
        <w:rPr>
          <w:rFonts w:ascii="Footlight MT Light" w:hAnsi="Footlight MT Light"/>
          <w:sz w:val="28"/>
          <w:szCs w:val="28"/>
        </w:rPr>
        <w:t xml:space="preserve">not </w:t>
      </w:r>
      <w:r w:rsidR="006F7B7A">
        <w:rPr>
          <w:rFonts w:ascii="Footlight MT Light" w:hAnsi="Footlight MT Light"/>
          <w:sz w:val="28"/>
          <w:szCs w:val="28"/>
        </w:rPr>
        <w:t xml:space="preserve">alienating the estate. </w:t>
      </w:r>
      <w:r w:rsidR="00FE7DDA">
        <w:rPr>
          <w:rFonts w:ascii="Footlight MT Light" w:hAnsi="Footlight MT Light"/>
          <w:sz w:val="28"/>
          <w:szCs w:val="28"/>
        </w:rPr>
        <w:t xml:space="preserve">That the Applicants are only intending to frustrate the other beneficiaries from enjoying their respective shares. </w:t>
      </w:r>
      <w:r w:rsidR="00521A3E">
        <w:rPr>
          <w:rFonts w:ascii="Footlight MT Light" w:hAnsi="Footlight MT Light"/>
          <w:sz w:val="28"/>
          <w:szCs w:val="28"/>
        </w:rPr>
        <w:t xml:space="preserve">Thus, the application has been brought in bad faith and intended to waste courts </w:t>
      </w:r>
      <w:r w:rsidR="00D06343">
        <w:rPr>
          <w:rFonts w:ascii="Footlight MT Light" w:hAnsi="Footlight MT Light"/>
          <w:sz w:val="28"/>
          <w:szCs w:val="28"/>
        </w:rPr>
        <w:t>time.</w:t>
      </w:r>
    </w:p>
    <w:p w:rsidR="0091389F" w:rsidRDefault="00751070" w:rsidP="00A57980">
      <w:pPr>
        <w:jc w:val="both"/>
        <w:rPr>
          <w:rFonts w:ascii="Footlight MT Light" w:hAnsi="Footlight MT Light"/>
          <w:sz w:val="28"/>
          <w:szCs w:val="28"/>
        </w:rPr>
      </w:pPr>
      <w:r>
        <w:rPr>
          <w:rFonts w:ascii="Footlight MT Light" w:hAnsi="Footlight MT Light"/>
          <w:sz w:val="28"/>
          <w:szCs w:val="28"/>
        </w:rPr>
        <w:t xml:space="preserve">I have carefully considered the submissions of both parties. </w:t>
      </w:r>
      <w:r w:rsidR="004A577B">
        <w:rPr>
          <w:rFonts w:ascii="Footlight MT Light" w:hAnsi="Footlight MT Light"/>
          <w:sz w:val="28"/>
          <w:szCs w:val="28"/>
        </w:rPr>
        <w:t xml:space="preserve">And as submitted by both parties there are conditions to be satisfied </w:t>
      </w:r>
      <w:r w:rsidR="00B02324">
        <w:rPr>
          <w:rFonts w:ascii="Footlight MT Light" w:hAnsi="Footlight MT Light"/>
          <w:sz w:val="28"/>
          <w:szCs w:val="28"/>
        </w:rPr>
        <w:t xml:space="preserve">before a temporary injunction can be granted to wit; the applicant must show a prima facie case with the possibility of success; the applicant must otherwise suffer irreparable damage which would not adequately be compensated by an award of damages; and that granting an injunction on a balance of convenience. </w:t>
      </w:r>
    </w:p>
    <w:p w:rsidR="00276831" w:rsidRDefault="00E259F2" w:rsidP="00A57980">
      <w:pPr>
        <w:jc w:val="both"/>
        <w:rPr>
          <w:rFonts w:ascii="Footlight MT Light" w:hAnsi="Footlight MT Light"/>
          <w:sz w:val="28"/>
          <w:szCs w:val="28"/>
        </w:rPr>
      </w:pPr>
      <w:r>
        <w:rPr>
          <w:rFonts w:ascii="Footlight MT Light" w:hAnsi="Footlight MT Light"/>
          <w:sz w:val="28"/>
          <w:szCs w:val="28"/>
        </w:rPr>
        <w:t>The Applicants in the instant case</w:t>
      </w:r>
      <w:r w:rsidR="00343AD5">
        <w:rPr>
          <w:rFonts w:ascii="Footlight MT Light" w:hAnsi="Footlight MT Light"/>
          <w:sz w:val="28"/>
          <w:szCs w:val="28"/>
        </w:rPr>
        <w:t xml:space="preserve"> in their submissions </w:t>
      </w:r>
      <w:r w:rsidR="007A2612">
        <w:rPr>
          <w:rFonts w:ascii="Footlight MT Light" w:hAnsi="Footlight MT Light"/>
          <w:sz w:val="28"/>
          <w:szCs w:val="28"/>
        </w:rPr>
        <w:t xml:space="preserve">stated that the case concerns mismanagement of authority and the estate by the Respondents in their capacity as Administrators of the estate of the late Yakobo R.K.Mulindwa with issues to determine such as whether there has been a distribution of the estate or not, whether the authority of the Respondents as the Administrators is still valid. That there are various triable </w:t>
      </w:r>
      <w:r w:rsidR="0091389F">
        <w:rPr>
          <w:rFonts w:ascii="Footlight MT Light" w:hAnsi="Footlight MT Light"/>
          <w:sz w:val="28"/>
          <w:szCs w:val="28"/>
        </w:rPr>
        <w:t xml:space="preserve">issues that this Court needs to </w:t>
      </w:r>
      <w:r w:rsidR="0091389F">
        <w:rPr>
          <w:rFonts w:ascii="Footlight MT Light" w:hAnsi="Footlight MT Light"/>
          <w:sz w:val="28"/>
          <w:szCs w:val="28"/>
        </w:rPr>
        <w:lastRenderedPageBreak/>
        <w:t xml:space="preserve">determine and if this application is not granted this will prejudice the Applicants. </w:t>
      </w:r>
    </w:p>
    <w:p w:rsidR="00B02324" w:rsidRDefault="0091389F" w:rsidP="00A57980">
      <w:pPr>
        <w:jc w:val="both"/>
        <w:rPr>
          <w:rFonts w:ascii="Footlight MT Light" w:hAnsi="Footlight MT Light"/>
          <w:sz w:val="28"/>
          <w:szCs w:val="28"/>
        </w:rPr>
      </w:pPr>
      <w:r>
        <w:rPr>
          <w:rFonts w:ascii="Footlight MT Light" w:hAnsi="Footlight MT Light"/>
          <w:sz w:val="28"/>
          <w:szCs w:val="28"/>
        </w:rPr>
        <w:t xml:space="preserve">I do concur with the submissions of the Applicants and find the instant case </w:t>
      </w:r>
      <w:r w:rsidR="007E5808">
        <w:rPr>
          <w:rFonts w:ascii="Footlight MT Light" w:hAnsi="Footlight MT Light"/>
          <w:sz w:val="28"/>
          <w:szCs w:val="28"/>
        </w:rPr>
        <w:t>a</w:t>
      </w:r>
      <w:r>
        <w:rPr>
          <w:rFonts w:ascii="Footlight MT Light" w:hAnsi="Footlight MT Light"/>
          <w:sz w:val="28"/>
          <w:szCs w:val="28"/>
        </w:rPr>
        <w:t xml:space="preserve">s one fit for the grant of a temporary injunction </w:t>
      </w:r>
      <w:r w:rsidR="007E5808">
        <w:rPr>
          <w:rFonts w:ascii="Footlight MT Light" w:hAnsi="Footlight MT Light"/>
          <w:sz w:val="28"/>
          <w:szCs w:val="28"/>
        </w:rPr>
        <w:t>since it also touches on land which is a very sensitive subject matter.</w:t>
      </w:r>
      <w:r>
        <w:rPr>
          <w:rFonts w:ascii="Footlight MT Light" w:hAnsi="Footlight MT Light"/>
          <w:sz w:val="28"/>
          <w:szCs w:val="28"/>
        </w:rPr>
        <w:t xml:space="preserve"> I accordingly allow the instant applicatio</w:t>
      </w:r>
      <w:r w:rsidR="008C37E0">
        <w:rPr>
          <w:rFonts w:ascii="Footlight MT Light" w:hAnsi="Footlight MT Light"/>
          <w:sz w:val="28"/>
          <w:szCs w:val="28"/>
        </w:rPr>
        <w:t>n</w:t>
      </w:r>
      <w:r>
        <w:rPr>
          <w:rFonts w:ascii="Footlight MT Light" w:hAnsi="Footlight MT Light"/>
          <w:sz w:val="28"/>
          <w:szCs w:val="28"/>
        </w:rPr>
        <w:t>.</w:t>
      </w:r>
      <w:r w:rsidR="008C37E0">
        <w:rPr>
          <w:rFonts w:ascii="Footlight MT Light" w:hAnsi="Footlight MT Light"/>
          <w:sz w:val="28"/>
          <w:szCs w:val="28"/>
        </w:rPr>
        <w:t xml:space="preserve"> However, since the main case is pending, I order that cost of this application be in the cause.</w:t>
      </w:r>
      <w:r>
        <w:rPr>
          <w:rFonts w:ascii="Footlight MT Light" w:hAnsi="Footlight MT Light"/>
          <w:sz w:val="28"/>
          <w:szCs w:val="28"/>
        </w:rPr>
        <w:t xml:space="preserve"> </w:t>
      </w:r>
    </w:p>
    <w:p w:rsidR="0091389F" w:rsidRDefault="0091389F" w:rsidP="00A57980">
      <w:pPr>
        <w:jc w:val="both"/>
        <w:rPr>
          <w:rFonts w:ascii="Footlight MT Light" w:hAnsi="Footlight MT Light"/>
          <w:sz w:val="28"/>
          <w:szCs w:val="28"/>
        </w:rPr>
      </w:pPr>
    </w:p>
    <w:p w:rsidR="0091389F" w:rsidRPr="00276831" w:rsidRDefault="0091389F" w:rsidP="00A57980">
      <w:pPr>
        <w:jc w:val="both"/>
        <w:rPr>
          <w:rFonts w:ascii="Footlight MT Light" w:hAnsi="Footlight MT Light"/>
          <w:b/>
          <w:sz w:val="28"/>
          <w:szCs w:val="28"/>
        </w:rPr>
      </w:pPr>
      <w:r w:rsidRPr="00276831">
        <w:rPr>
          <w:rFonts w:ascii="Footlight MT Light" w:hAnsi="Footlight MT Light"/>
          <w:b/>
          <w:sz w:val="28"/>
          <w:szCs w:val="28"/>
        </w:rPr>
        <w:t>........................................</w:t>
      </w:r>
    </w:p>
    <w:p w:rsidR="0091389F" w:rsidRPr="00276831" w:rsidRDefault="0091389F" w:rsidP="00A57980">
      <w:pPr>
        <w:jc w:val="both"/>
        <w:rPr>
          <w:rFonts w:ascii="Footlight MT Light" w:hAnsi="Footlight MT Light"/>
          <w:b/>
          <w:sz w:val="28"/>
          <w:szCs w:val="28"/>
        </w:rPr>
      </w:pPr>
      <w:r w:rsidRPr="00276831">
        <w:rPr>
          <w:rFonts w:ascii="Footlight MT Light" w:hAnsi="Footlight MT Light"/>
          <w:b/>
          <w:sz w:val="28"/>
          <w:szCs w:val="28"/>
        </w:rPr>
        <w:t>WILSON MASALU MUSENE</w:t>
      </w:r>
    </w:p>
    <w:p w:rsidR="0091389F" w:rsidRPr="00276831" w:rsidRDefault="0091389F" w:rsidP="00A57980">
      <w:pPr>
        <w:jc w:val="both"/>
        <w:rPr>
          <w:rFonts w:ascii="Footlight MT Light" w:hAnsi="Footlight MT Light"/>
          <w:b/>
          <w:sz w:val="28"/>
          <w:szCs w:val="28"/>
        </w:rPr>
      </w:pPr>
      <w:r w:rsidRPr="00276831">
        <w:rPr>
          <w:rFonts w:ascii="Footlight MT Light" w:hAnsi="Footlight MT Light"/>
          <w:b/>
          <w:sz w:val="28"/>
          <w:szCs w:val="28"/>
        </w:rPr>
        <w:t>JUDGE</w:t>
      </w:r>
    </w:p>
    <w:p w:rsidR="0091389F" w:rsidRPr="00276831" w:rsidRDefault="00276831" w:rsidP="00A57980">
      <w:pPr>
        <w:jc w:val="both"/>
        <w:rPr>
          <w:rFonts w:ascii="Footlight MT Light" w:hAnsi="Footlight MT Light"/>
          <w:b/>
          <w:sz w:val="28"/>
          <w:szCs w:val="28"/>
        </w:rPr>
      </w:pPr>
      <w:r w:rsidRPr="00276831">
        <w:rPr>
          <w:rFonts w:ascii="Footlight MT Light" w:hAnsi="Footlight MT Light"/>
          <w:b/>
          <w:sz w:val="28"/>
          <w:szCs w:val="28"/>
        </w:rPr>
        <w:t>07/05/2019</w:t>
      </w:r>
    </w:p>
    <w:p w:rsidR="00D246F1" w:rsidRPr="00A57980" w:rsidRDefault="00D331DC" w:rsidP="00A57980">
      <w:pPr>
        <w:jc w:val="both"/>
        <w:rPr>
          <w:rFonts w:ascii="Footlight MT Light" w:hAnsi="Footlight MT Light"/>
          <w:sz w:val="28"/>
          <w:szCs w:val="28"/>
        </w:rPr>
      </w:pPr>
      <w:r>
        <w:rPr>
          <w:rFonts w:ascii="Footlight MT Light" w:hAnsi="Footlight MT Light"/>
          <w:sz w:val="28"/>
          <w:szCs w:val="28"/>
        </w:rPr>
        <w:t xml:space="preserve"> </w:t>
      </w:r>
      <w:r w:rsidR="005B627C">
        <w:rPr>
          <w:rFonts w:ascii="Footlight MT Light" w:hAnsi="Footlight MT Light"/>
          <w:sz w:val="28"/>
          <w:szCs w:val="28"/>
        </w:rPr>
        <w:t xml:space="preserve"> </w:t>
      </w:r>
    </w:p>
    <w:sectPr w:rsidR="00D246F1" w:rsidRPr="00A57980" w:rsidSect="005C0047">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B7F" w:rsidRDefault="009F0B7F" w:rsidP="005C0047">
      <w:pPr>
        <w:spacing w:after="0" w:line="240" w:lineRule="auto"/>
      </w:pPr>
      <w:r>
        <w:separator/>
      </w:r>
    </w:p>
  </w:endnote>
  <w:endnote w:type="continuationSeparator" w:id="0">
    <w:p w:rsidR="009F0B7F" w:rsidRDefault="009F0B7F" w:rsidP="005C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010"/>
      <w:docPartObj>
        <w:docPartGallery w:val="Page Numbers (Bottom of Page)"/>
        <w:docPartUnique/>
      </w:docPartObj>
    </w:sdtPr>
    <w:sdtEndPr/>
    <w:sdtContent>
      <w:p w:rsidR="00521A3E" w:rsidRDefault="009F0B7F">
        <w:pPr>
          <w:pStyle w:val="Footer"/>
          <w:jc w:val="center"/>
        </w:pPr>
        <w:r>
          <w:fldChar w:fldCharType="begin"/>
        </w:r>
        <w:r>
          <w:instrText xml:space="preserve"> PAGE   \* MERGEFORMAT </w:instrText>
        </w:r>
        <w:r>
          <w:fldChar w:fldCharType="separate"/>
        </w:r>
        <w:r w:rsidR="00CA62ED">
          <w:rPr>
            <w:noProof/>
          </w:rPr>
          <w:t>1</w:t>
        </w:r>
        <w:r>
          <w:rPr>
            <w:noProof/>
          </w:rPr>
          <w:fldChar w:fldCharType="end"/>
        </w:r>
      </w:p>
    </w:sdtContent>
  </w:sdt>
  <w:p w:rsidR="00521A3E" w:rsidRDefault="00521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B7F" w:rsidRDefault="009F0B7F" w:rsidP="005C0047">
      <w:pPr>
        <w:spacing w:after="0" w:line="240" w:lineRule="auto"/>
      </w:pPr>
      <w:r>
        <w:separator/>
      </w:r>
    </w:p>
  </w:footnote>
  <w:footnote w:type="continuationSeparator" w:id="0">
    <w:p w:rsidR="009F0B7F" w:rsidRDefault="009F0B7F" w:rsidP="005C0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64C"/>
    <w:multiLevelType w:val="hybridMultilevel"/>
    <w:tmpl w:val="91505646"/>
    <w:lvl w:ilvl="0" w:tplc="A44EF1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4541E74"/>
    <w:multiLevelType w:val="hybridMultilevel"/>
    <w:tmpl w:val="64C66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D64FF1"/>
    <w:multiLevelType w:val="hybridMultilevel"/>
    <w:tmpl w:val="38906E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850E92"/>
    <w:multiLevelType w:val="hybridMultilevel"/>
    <w:tmpl w:val="B6768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A7"/>
    <w:rsid w:val="00030834"/>
    <w:rsid w:val="00075346"/>
    <w:rsid w:val="000D7CA7"/>
    <w:rsid w:val="00276831"/>
    <w:rsid w:val="002A61F2"/>
    <w:rsid w:val="002D66C1"/>
    <w:rsid w:val="002F7255"/>
    <w:rsid w:val="00343AD5"/>
    <w:rsid w:val="004960C5"/>
    <w:rsid w:val="004A577B"/>
    <w:rsid w:val="00521A3E"/>
    <w:rsid w:val="00557C17"/>
    <w:rsid w:val="005A54FB"/>
    <w:rsid w:val="005B627C"/>
    <w:rsid w:val="005C0047"/>
    <w:rsid w:val="00626702"/>
    <w:rsid w:val="00635B03"/>
    <w:rsid w:val="006574EA"/>
    <w:rsid w:val="006F7B7A"/>
    <w:rsid w:val="00751070"/>
    <w:rsid w:val="007A2612"/>
    <w:rsid w:val="007C7CD1"/>
    <w:rsid w:val="007E5808"/>
    <w:rsid w:val="00825ADB"/>
    <w:rsid w:val="008809BB"/>
    <w:rsid w:val="00893207"/>
    <w:rsid w:val="008C37E0"/>
    <w:rsid w:val="008F7799"/>
    <w:rsid w:val="0091389F"/>
    <w:rsid w:val="009B61B0"/>
    <w:rsid w:val="009F0B7F"/>
    <w:rsid w:val="00A57980"/>
    <w:rsid w:val="00B02324"/>
    <w:rsid w:val="00BA198D"/>
    <w:rsid w:val="00BF7D98"/>
    <w:rsid w:val="00C11B0C"/>
    <w:rsid w:val="00C7185E"/>
    <w:rsid w:val="00CA62ED"/>
    <w:rsid w:val="00CD6080"/>
    <w:rsid w:val="00D06343"/>
    <w:rsid w:val="00D246F1"/>
    <w:rsid w:val="00D331DC"/>
    <w:rsid w:val="00D71957"/>
    <w:rsid w:val="00E259F2"/>
    <w:rsid w:val="00E35FCF"/>
    <w:rsid w:val="00E36A89"/>
    <w:rsid w:val="00E43771"/>
    <w:rsid w:val="00FB6297"/>
    <w:rsid w:val="00FE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E35FCF"/>
    <w:pPr>
      <w:ind w:left="720"/>
      <w:contextualSpacing/>
    </w:pPr>
  </w:style>
  <w:style w:type="paragraph" w:styleId="Header">
    <w:name w:val="header"/>
    <w:basedOn w:val="Normal"/>
    <w:link w:val="HeaderChar"/>
    <w:uiPriority w:val="99"/>
    <w:semiHidden/>
    <w:unhideWhenUsed/>
    <w:rsid w:val="005C00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0047"/>
  </w:style>
  <w:style w:type="paragraph" w:styleId="Footer">
    <w:name w:val="footer"/>
    <w:basedOn w:val="Normal"/>
    <w:link w:val="FooterChar"/>
    <w:uiPriority w:val="99"/>
    <w:unhideWhenUsed/>
    <w:rsid w:val="005C0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047"/>
  </w:style>
  <w:style w:type="character" w:styleId="LineNumber">
    <w:name w:val="line number"/>
    <w:basedOn w:val="DefaultParagraphFont"/>
    <w:uiPriority w:val="99"/>
    <w:semiHidden/>
    <w:unhideWhenUsed/>
    <w:rsid w:val="005C0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E35FCF"/>
    <w:pPr>
      <w:ind w:left="720"/>
      <w:contextualSpacing/>
    </w:pPr>
  </w:style>
  <w:style w:type="paragraph" w:styleId="Header">
    <w:name w:val="header"/>
    <w:basedOn w:val="Normal"/>
    <w:link w:val="HeaderChar"/>
    <w:uiPriority w:val="99"/>
    <w:semiHidden/>
    <w:unhideWhenUsed/>
    <w:rsid w:val="005C00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0047"/>
  </w:style>
  <w:style w:type="paragraph" w:styleId="Footer">
    <w:name w:val="footer"/>
    <w:basedOn w:val="Normal"/>
    <w:link w:val="FooterChar"/>
    <w:uiPriority w:val="99"/>
    <w:unhideWhenUsed/>
    <w:rsid w:val="005C0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047"/>
  </w:style>
  <w:style w:type="character" w:styleId="LineNumber">
    <w:name w:val="line number"/>
    <w:basedOn w:val="DefaultParagraphFont"/>
    <w:uiPriority w:val="99"/>
    <w:semiHidden/>
    <w:unhideWhenUsed/>
    <w:rsid w:val="005C0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cp:lastPrinted>2019-05-06T11:57:00Z</cp:lastPrinted>
  <dcterms:created xsi:type="dcterms:W3CDTF">2019-05-16T11:43:00Z</dcterms:created>
  <dcterms:modified xsi:type="dcterms:W3CDTF">2019-05-16T11:43:00Z</dcterms:modified>
</cp:coreProperties>
</file>