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28" w:rsidRPr="00F30A6D" w:rsidRDefault="00E61028" w:rsidP="00E61028">
      <w:pPr>
        <w:spacing w:line="480" w:lineRule="auto"/>
        <w:jc w:val="center"/>
        <w:rPr>
          <w:rFonts w:ascii="Bookman Old Style" w:hAnsi="Bookman Old Style"/>
          <w:b/>
          <w:sz w:val="32"/>
          <w:szCs w:val="28"/>
        </w:rPr>
      </w:pPr>
      <w:bookmarkStart w:id="0" w:name="_GoBack"/>
      <w:bookmarkEnd w:id="0"/>
      <w:r w:rsidRPr="00F30A6D">
        <w:rPr>
          <w:rFonts w:ascii="Bookman Old Style" w:hAnsi="Bookman Old Style"/>
          <w:b/>
          <w:sz w:val="32"/>
          <w:szCs w:val="28"/>
        </w:rPr>
        <w:t>THE REPUBLIC OF UGANDA</w:t>
      </w:r>
    </w:p>
    <w:p w:rsidR="00E61028" w:rsidRPr="00F30A6D" w:rsidRDefault="00E61028" w:rsidP="00E61028">
      <w:pPr>
        <w:spacing w:line="480" w:lineRule="auto"/>
        <w:jc w:val="center"/>
        <w:rPr>
          <w:rFonts w:ascii="Bookman Old Style" w:hAnsi="Bookman Old Style"/>
          <w:b/>
          <w:sz w:val="28"/>
        </w:rPr>
      </w:pPr>
      <w:r w:rsidRPr="00F30A6D">
        <w:rPr>
          <w:rFonts w:ascii="Bookman Old Style" w:hAnsi="Bookman Old Style"/>
          <w:b/>
          <w:sz w:val="28"/>
        </w:rPr>
        <w:t>IN THE HIGH COURT OF UGANDA AT KAMPALA</w:t>
      </w:r>
    </w:p>
    <w:p w:rsidR="00E61028" w:rsidRPr="00F30A6D" w:rsidRDefault="00E61028" w:rsidP="00E61028">
      <w:pPr>
        <w:spacing w:line="480" w:lineRule="auto"/>
        <w:jc w:val="center"/>
        <w:rPr>
          <w:rFonts w:ascii="Bookman Old Style" w:hAnsi="Bookman Old Style"/>
          <w:b/>
          <w:sz w:val="28"/>
        </w:rPr>
      </w:pPr>
      <w:r w:rsidRPr="00F30A6D">
        <w:rPr>
          <w:rFonts w:ascii="Bookman Old Style" w:hAnsi="Bookman Old Style"/>
          <w:b/>
          <w:sz w:val="28"/>
        </w:rPr>
        <w:t>(COMMERCIAL DIVISION)</w:t>
      </w:r>
    </w:p>
    <w:p w:rsidR="00E61028" w:rsidRPr="00F30A6D" w:rsidRDefault="00E61028" w:rsidP="00E61028">
      <w:pPr>
        <w:spacing w:line="480" w:lineRule="auto"/>
        <w:jc w:val="center"/>
        <w:rPr>
          <w:rFonts w:ascii="Bookman Old Style" w:hAnsi="Bookman Old Style"/>
          <w:b/>
          <w:sz w:val="28"/>
        </w:rPr>
      </w:pPr>
      <w:r>
        <w:rPr>
          <w:rFonts w:ascii="Bookman Old Style" w:hAnsi="Bookman Old Style"/>
          <w:b/>
          <w:sz w:val="28"/>
        </w:rPr>
        <w:t>MISCELLANEOUS APPLICATION NO. 625 OF 2014</w:t>
      </w:r>
    </w:p>
    <w:p w:rsidR="00E61028" w:rsidRPr="00F30A6D" w:rsidRDefault="00E61028" w:rsidP="00E61028">
      <w:pPr>
        <w:spacing w:line="480" w:lineRule="auto"/>
        <w:jc w:val="center"/>
        <w:rPr>
          <w:rFonts w:ascii="Bookman Old Style" w:hAnsi="Bookman Old Style"/>
          <w:b/>
          <w:sz w:val="28"/>
        </w:rPr>
      </w:pPr>
      <w:r>
        <w:rPr>
          <w:rFonts w:ascii="Bookman Old Style" w:hAnsi="Bookman Old Style"/>
          <w:b/>
          <w:sz w:val="28"/>
        </w:rPr>
        <w:t>(Arising from Civil Suit No. 672 of 2005)</w:t>
      </w:r>
    </w:p>
    <w:p w:rsidR="00E61028" w:rsidRPr="00F30A6D" w:rsidRDefault="00E61028" w:rsidP="00E61028">
      <w:pPr>
        <w:jc w:val="center"/>
        <w:rPr>
          <w:rFonts w:ascii="Bookman Old Style" w:hAnsi="Bookman Old Style"/>
          <w:b/>
          <w:sz w:val="28"/>
        </w:rPr>
      </w:pPr>
    </w:p>
    <w:p w:rsidR="00E61028" w:rsidRPr="00E61028" w:rsidRDefault="00E61028" w:rsidP="00E61028">
      <w:pPr>
        <w:pStyle w:val="ListParagraph"/>
        <w:numPr>
          <w:ilvl w:val="0"/>
          <w:numId w:val="1"/>
        </w:numPr>
        <w:rPr>
          <w:rFonts w:ascii="Bookman Old Style" w:hAnsi="Bookman Old Style"/>
          <w:b/>
          <w:sz w:val="28"/>
        </w:rPr>
      </w:pPr>
      <w:r w:rsidRPr="00E61028">
        <w:rPr>
          <w:rFonts w:ascii="Bookman Old Style" w:hAnsi="Bookman Old Style"/>
          <w:b/>
          <w:sz w:val="28"/>
        </w:rPr>
        <w:t>DR. D.B. KYEGOMBE</w:t>
      </w:r>
    </w:p>
    <w:p w:rsidR="00E61028" w:rsidRPr="00E61028" w:rsidRDefault="00E61028" w:rsidP="00E61028">
      <w:pPr>
        <w:pStyle w:val="ListParagraph"/>
        <w:numPr>
          <w:ilvl w:val="0"/>
          <w:numId w:val="1"/>
        </w:numPr>
        <w:rPr>
          <w:rFonts w:ascii="Bookman Old Style" w:hAnsi="Bookman Old Style"/>
          <w:b/>
          <w:sz w:val="28"/>
        </w:rPr>
      </w:pPr>
      <w:r>
        <w:rPr>
          <w:rFonts w:ascii="Bookman Old Style" w:hAnsi="Bookman Old Style"/>
          <w:b/>
          <w:sz w:val="28"/>
        </w:rPr>
        <w:t>MRS. B.V. KYEYUNE::::::::::::::::</w:t>
      </w:r>
      <w:r w:rsidRPr="00E61028">
        <w:rPr>
          <w:rFonts w:ascii="Bookman Old Style" w:hAnsi="Bookman Old Style"/>
          <w:b/>
          <w:sz w:val="28"/>
        </w:rPr>
        <w:t>:::::::::::::::::::::::APPLICANT</w:t>
      </w:r>
      <w:r>
        <w:rPr>
          <w:rFonts w:ascii="Bookman Old Style" w:hAnsi="Bookman Old Style"/>
          <w:b/>
          <w:sz w:val="28"/>
        </w:rPr>
        <w:t>S</w:t>
      </w:r>
    </w:p>
    <w:p w:rsidR="00E61028" w:rsidRPr="00F30A6D" w:rsidRDefault="00E61028" w:rsidP="00E61028">
      <w:pPr>
        <w:jc w:val="center"/>
        <w:rPr>
          <w:rFonts w:ascii="Bookman Old Style" w:hAnsi="Bookman Old Style"/>
          <w:b/>
          <w:sz w:val="28"/>
        </w:rPr>
      </w:pPr>
      <w:r w:rsidRPr="00F30A6D">
        <w:rPr>
          <w:rFonts w:ascii="Bookman Old Style" w:hAnsi="Bookman Old Style"/>
          <w:b/>
          <w:sz w:val="28"/>
        </w:rPr>
        <w:t>VERSUS</w:t>
      </w:r>
    </w:p>
    <w:p w:rsidR="00E61028" w:rsidRPr="00F30A6D" w:rsidRDefault="00E61028" w:rsidP="00E61028">
      <w:pPr>
        <w:rPr>
          <w:rFonts w:ascii="Bookman Old Style" w:hAnsi="Bookman Old Style"/>
          <w:b/>
          <w:sz w:val="28"/>
        </w:rPr>
      </w:pPr>
      <w:r>
        <w:rPr>
          <w:rFonts w:ascii="Bookman Old Style" w:hAnsi="Bookman Old Style"/>
          <w:b/>
          <w:sz w:val="28"/>
        </w:rPr>
        <w:t xml:space="preserve">     ERIDAD F. NTANDA:::::::::::::::::::::::::::::::::::::::::::REPONDE</w:t>
      </w:r>
      <w:r w:rsidRPr="00F30A6D">
        <w:rPr>
          <w:rFonts w:ascii="Bookman Old Style" w:hAnsi="Bookman Old Style"/>
          <w:b/>
          <w:sz w:val="28"/>
        </w:rPr>
        <w:t>NT</w:t>
      </w:r>
    </w:p>
    <w:p w:rsidR="00E61028" w:rsidRDefault="00E61028" w:rsidP="00E61028">
      <w:pPr>
        <w:jc w:val="center"/>
        <w:rPr>
          <w:rFonts w:ascii="Bookman Old Style" w:hAnsi="Bookman Old Style"/>
          <w:b/>
          <w:sz w:val="28"/>
        </w:rPr>
      </w:pPr>
    </w:p>
    <w:p w:rsidR="00E61028" w:rsidRPr="00F30A6D" w:rsidRDefault="00E61028" w:rsidP="00E61028">
      <w:pPr>
        <w:jc w:val="center"/>
        <w:rPr>
          <w:rFonts w:ascii="Bookman Old Style" w:hAnsi="Bookman Old Style"/>
          <w:b/>
          <w:sz w:val="28"/>
        </w:rPr>
      </w:pPr>
    </w:p>
    <w:p w:rsidR="00E61028" w:rsidRPr="000C0C8A" w:rsidRDefault="00E61028" w:rsidP="00E61028">
      <w:pPr>
        <w:jc w:val="center"/>
        <w:rPr>
          <w:rFonts w:ascii="Bookman Old Style" w:hAnsi="Bookman Old Style"/>
          <w:b/>
          <w:sz w:val="28"/>
          <w:szCs w:val="28"/>
          <w:u w:val="single"/>
        </w:rPr>
      </w:pPr>
      <w:r w:rsidRPr="000C0C8A">
        <w:rPr>
          <w:rFonts w:ascii="Bookman Old Style" w:hAnsi="Bookman Old Style"/>
          <w:b/>
          <w:sz w:val="28"/>
          <w:szCs w:val="28"/>
          <w:u w:val="single"/>
        </w:rPr>
        <w:t>BEFORE THE HON. MR. JUSTICE HENRY PETER ADONYO</w:t>
      </w:r>
    </w:p>
    <w:p w:rsidR="00E61028" w:rsidRPr="000C0C8A" w:rsidRDefault="00E61028" w:rsidP="00E61028">
      <w:pPr>
        <w:jc w:val="center"/>
        <w:rPr>
          <w:rFonts w:ascii="Bookman Old Style" w:hAnsi="Bookman Old Style"/>
          <w:b/>
          <w:sz w:val="28"/>
          <w:szCs w:val="28"/>
          <w:u w:val="single"/>
        </w:rPr>
      </w:pPr>
    </w:p>
    <w:p w:rsidR="00E61028" w:rsidRDefault="00E61028" w:rsidP="00E61028">
      <w:pPr>
        <w:jc w:val="center"/>
        <w:rPr>
          <w:rFonts w:ascii="Bookman Old Style" w:hAnsi="Bookman Old Style"/>
          <w:b/>
          <w:sz w:val="28"/>
          <w:szCs w:val="28"/>
          <w:u w:val="single"/>
        </w:rPr>
      </w:pPr>
      <w:r>
        <w:rPr>
          <w:rFonts w:ascii="Bookman Old Style" w:hAnsi="Bookman Old Style"/>
          <w:b/>
          <w:sz w:val="28"/>
          <w:szCs w:val="28"/>
          <w:u w:val="single"/>
        </w:rPr>
        <w:t>RULING</w:t>
      </w:r>
    </w:p>
    <w:p w:rsidR="00983F38" w:rsidRPr="00E61028" w:rsidRDefault="00983F38" w:rsidP="00370BDA">
      <w:pPr>
        <w:spacing w:line="480" w:lineRule="auto"/>
        <w:jc w:val="both"/>
        <w:rPr>
          <w:rFonts w:ascii="Bookman Old Style" w:hAnsi="Bookman Old Style"/>
          <w:sz w:val="28"/>
          <w:szCs w:val="28"/>
        </w:rPr>
      </w:pPr>
      <w:r w:rsidRPr="00E61028">
        <w:rPr>
          <w:rFonts w:ascii="Bookman Old Style" w:hAnsi="Bookman Old Style"/>
          <w:sz w:val="28"/>
          <w:szCs w:val="28"/>
        </w:rPr>
        <w:t xml:space="preserve">The Applicants, Dr. D.B Kyegombe and </w:t>
      </w:r>
      <w:r w:rsidR="00E61028" w:rsidRPr="00E61028">
        <w:rPr>
          <w:rFonts w:ascii="Bookman Old Style" w:hAnsi="Bookman Old Style"/>
          <w:sz w:val="28"/>
          <w:szCs w:val="28"/>
        </w:rPr>
        <w:t>Mrs.</w:t>
      </w:r>
      <w:r w:rsidRPr="00E61028">
        <w:rPr>
          <w:rFonts w:ascii="Bookman Old Style" w:hAnsi="Bookman Old Style"/>
          <w:sz w:val="28"/>
          <w:szCs w:val="28"/>
        </w:rPr>
        <w:t xml:space="preserve"> B.V Kyeyune bring this application under Section 62(1) of the Advocates </w:t>
      </w:r>
      <w:r w:rsidR="00942EE4" w:rsidRPr="00E61028">
        <w:rPr>
          <w:rFonts w:ascii="Bookman Old Style" w:hAnsi="Bookman Old Style"/>
          <w:sz w:val="28"/>
          <w:szCs w:val="28"/>
        </w:rPr>
        <w:t>Act Cap 267 and Regulation 3(1) of the Advocates (Taxation of costs) (Appeals and Ref</w:t>
      </w:r>
      <w:r w:rsidR="00F12CD0" w:rsidRPr="00E61028">
        <w:rPr>
          <w:rFonts w:ascii="Bookman Old Style" w:hAnsi="Bookman Old Style"/>
          <w:sz w:val="28"/>
          <w:szCs w:val="28"/>
        </w:rPr>
        <w:t>erences) Regulations SI 247-1; s</w:t>
      </w:r>
      <w:r w:rsidR="00942EE4" w:rsidRPr="00E61028">
        <w:rPr>
          <w:rFonts w:ascii="Bookman Old Style" w:hAnsi="Bookman Old Style"/>
          <w:sz w:val="28"/>
          <w:szCs w:val="28"/>
        </w:rPr>
        <w:t xml:space="preserve">eeking orders that the award of </w:t>
      </w:r>
      <w:r w:rsidR="00E61028">
        <w:rPr>
          <w:rFonts w:ascii="Bookman Old Style" w:hAnsi="Bookman Old Style"/>
          <w:sz w:val="28"/>
          <w:szCs w:val="28"/>
        </w:rPr>
        <w:t xml:space="preserve">Ug. Shs. </w:t>
      </w:r>
      <w:r w:rsidR="00942EE4" w:rsidRPr="00E61028">
        <w:rPr>
          <w:rFonts w:ascii="Bookman Old Style" w:hAnsi="Bookman Old Style"/>
          <w:sz w:val="28"/>
          <w:szCs w:val="28"/>
        </w:rPr>
        <w:t>10,000,000</w:t>
      </w:r>
      <w:r w:rsidR="00E61028">
        <w:rPr>
          <w:rFonts w:ascii="Bookman Old Style" w:hAnsi="Bookman Old Style"/>
          <w:sz w:val="28"/>
          <w:szCs w:val="28"/>
        </w:rPr>
        <w:t xml:space="preserve"> </w:t>
      </w:r>
      <w:r w:rsidR="00942EE4" w:rsidRPr="00E61028">
        <w:rPr>
          <w:rFonts w:ascii="Bookman Old Style" w:hAnsi="Bookman Old Style"/>
          <w:sz w:val="28"/>
          <w:szCs w:val="28"/>
        </w:rPr>
        <w:t xml:space="preserve">as instruction fees for filing </w:t>
      </w:r>
      <w:r w:rsidR="00E61028">
        <w:rPr>
          <w:rFonts w:ascii="Bookman Old Style" w:hAnsi="Bookman Old Style"/>
          <w:sz w:val="28"/>
          <w:szCs w:val="28"/>
        </w:rPr>
        <w:t xml:space="preserve">High </w:t>
      </w:r>
      <w:r w:rsidR="00942EE4" w:rsidRPr="00E61028">
        <w:rPr>
          <w:rFonts w:ascii="Bookman Old Style" w:hAnsi="Bookman Old Style"/>
          <w:sz w:val="28"/>
          <w:szCs w:val="28"/>
        </w:rPr>
        <w:t>C</w:t>
      </w:r>
      <w:r w:rsidR="00E61028">
        <w:rPr>
          <w:rFonts w:ascii="Bookman Old Style" w:hAnsi="Bookman Old Style"/>
          <w:sz w:val="28"/>
          <w:szCs w:val="28"/>
        </w:rPr>
        <w:t xml:space="preserve">ourt Civil </w:t>
      </w:r>
      <w:r w:rsidR="00942EE4" w:rsidRPr="00E61028">
        <w:rPr>
          <w:rFonts w:ascii="Bookman Old Style" w:hAnsi="Bookman Old Style"/>
          <w:sz w:val="28"/>
          <w:szCs w:val="28"/>
        </w:rPr>
        <w:lastRenderedPageBreak/>
        <w:t>S</w:t>
      </w:r>
      <w:r w:rsidR="00E61028">
        <w:rPr>
          <w:rFonts w:ascii="Bookman Old Style" w:hAnsi="Bookman Old Style"/>
          <w:sz w:val="28"/>
          <w:szCs w:val="28"/>
        </w:rPr>
        <w:t xml:space="preserve">uit No. 672 of </w:t>
      </w:r>
      <w:r w:rsidR="00942EE4" w:rsidRPr="00E61028">
        <w:rPr>
          <w:rFonts w:ascii="Bookman Old Style" w:hAnsi="Bookman Old Style"/>
          <w:sz w:val="28"/>
          <w:szCs w:val="28"/>
        </w:rPr>
        <w:t xml:space="preserve">2005 be set aside, </w:t>
      </w:r>
      <w:r w:rsidR="00E61028">
        <w:rPr>
          <w:rFonts w:ascii="Bookman Old Style" w:hAnsi="Bookman Old Style"/>
          <w:sz w:val="28"/>
          <w:szCs w:val="28"/>
        </w:rPr>
        <w:t xml:space="preserve">that an </w:t>
      </w:r>
      <w:r w:rsidR="00942EE4" w:rsidRPr="00E61028">
        <w:rPr>
          <w:rFonts w:ascii="Bookman Old Style" w:hAnsi="Bookman Old Style"/>
          <w:sz w:val="28"/>
          <w:szCs w:val="28"/>
        </w:rPr>
        <w:t xml:space="preserve">amount of </w:t>
      </w:r>
      <w:r w:rsidR="00E61028">
        <w:rPr>
          <w:rFonts w:ascii="Bookman Old Style" w:hAnsi="Bookman Old Style"/>
          <w:sz w:val="28"/>
          <w:szCs w:val="28"/>
        </w:rPr>
        <w:t xml:space="preserve">Ug. Shs. </w:t>
      </w:r>
      <w:r w:rsidR="00942EE4" w:rsidRPr="00E61028">
        <w:rPr>
          <w:rFonts w:ascii="Bookman Old Style" w:hAnsi="Bookman Old Style"/>
          <w:sz w:val="28"/>
          <w:szCs w:val="28"/>
        </w:rPr>
        <w:t>1,577,500 be awarded instead as the appropriate instruction fees and costs of the application.</w:t>
      </w:r>
    </w:p>
    <w:p w:rsidR="00E61028" w:rsidRDefault="00942EE4" w:rsidP="00370BDA">
      <w:pPr>
        <w:spacing w:line="480" w:lineRule="auto"/>
        <w:jc w:val="both"/>
        <w:rPr>
          <w:rFonts w:ascii="Bookman Old Style" w:hAnsi="Bookman Old Style"/>
          <w:sz w:val="28"/>
          <w:szCs w:val="28"/>
        </w:rPr>
      </w:pPr>
      <w:r w:rsidRPr="00E61028">
        <w:rPr>
          <w:rFonts w:ascii="Bookman Old Style" w:hAnsi="Bookman Old Style"/>
          <w:sz w:val="28"/>
          <w:szCs w:val="28"/>
        </w:rPr>
        <w:t xml:space="preserve">The application is premised on a number of grounds set forth in the affidavit of Mbogo Charles, an advocate well versed </w:t>
      </w:r>
      <w:r w:rsidR="00F12CD0" w:rsidRPr="00E61028">
        <w:rPr>
          <w:rFonts w:ascii="Bookman Old Style" w:hAnsi="Bookman Old Style"/>
          <w:sz w:val="28"/>
          <w:szCs w:val="28"/>
        </w:rPr>
        <w:t xml:space="preserve">with the facts in relation </w:t>
      </w:r>
      <w:r w:rsidR="00E61028" w:rsidRPr="00E61028">
        <w:rPr>
          <w:rFonts w:ascii="Bookman Old Style" w:hAnsi="Bookman Old Style"/>
          <w:sz w:val="28"/>
          <w:szCs w:val="28"/>
        </w:rPr>
        <w:t>to the</w:t>
      </w:r>
      <w:r w:rsidRPr="00E61028">
        <w:rPr>
          <w:rFonts w:ascii="Bookman Old Style" w:hAnsi="Bookman Old Style"/>
          <w:sz w:val="28"/>
          <w:szCs w:val="28"/>
        </w:rPr>
        <w:t xml:space="preserve"> application. </w:t>
      </w:r>
    </w:p>
    <w:p w:rsidR="00942EE4" w:rsidRPr="00E61028" w:rsidRDefault="00942EE4" w:rsidP="00370BDA">
      <w:pPr>
        <w:spacing w:line="480" w:lineRule="auto"/>
        <w:jc w:val="both"/>
        <w:rPr>
          <w:rFonts w:ascii="Bookman Old Style" w:hAnsi="Bookman Old Style"/>
          <w:sz w:val="28"/>
          <w:szCs w:val="28"/>
        </w:rPr>
      </w:pPr>
      <w:r w:rsidRPr="00E61028">
        <w:rPr>
          <w:rFonts w:ascii="Bookman Old Style" w:hAnsi="Bookman Old Style"/>
          <w:sz w:val="28"/>
          <w:szCs w:val="28"/>
        </w:rPr>
        <w:t xml:space="preserve">In brief, he deposed that His Worship </w:t>
      </w:r>
      <w:r w:rsidR="00E61028" w:rsidRPr="00E61028">
        <w:rPr>
          <w:rFonts w:ascii="Bookman Old Style" w:hAnsi="Bookman Old Style"/>
          <w:sz w:val="28"/>
          <w:szCs w:val="28"/>
        </w:rPr>
        <w:t>Thaddeus</w:t>
      </w:r>
      <w:r w:rsidRPr="00E61028">
        <w:rPr>
          <w:rFonts w:ascii="Bookman Old Style" w:hAnsi="Bookman Old Style"/>
          <w:sz w:val="28"/>
          <w:szCs w:val="28"/>
        </w:rPr>
        <w:t xml:space="preserve"> Opesen conducted the taxation of </w:t>
      </w:r>
      <w:r w:rsidR="00E61028">
        <w:rPr>
          <w:rFonts w:ascii="Bookman Old Style" w:hAnsi="Bookman Old Style"/>
          <w:sz w:val="28"/>
          <w:szCs w:val="28"/>
        </w:rPr>
        <w:t>HC</w:t>
      </w:r>
      <w:r w:rsidRPr="00E61028">
        <w:rPr>
          <w:rFonts w:ascii="Bookman Old Style" w:hAnsi="Bookman Old Style"/>
          <w:sz w:val="28"/>
          <w:szCs w:val="28"/>
        </w:rPr>
        <w:t>C</w:t>
      </w:r>
      <w:r w:rsidR="00E61028">
        <w:rPr>
          <w:rFonts w:ascii="Bookman Old Style" w:hAnsi="Bookman Old Style"/>
          <w:sz w:val="28"/>
          <w:szCs w:val="28"/>
        </w:rPr>
        <w:t xml:space="preserve">S No. 672 of </w:t>
      </w:r>
      <w:r w:rsidRPr="00E61028">
        <w:rPr>
          <w:rFonts w:ascii="Bookman Old Style" w:hAnsi="Bookman Old Style"/>
          <w:sz w:val="28"/>
          <w:szCs w:val="28"/>
        </w:rPr>
        <w:t xml:space="preserve">2005 on </w:t>
      </w:r>
      <w:r w:rsidR="00E61028">
        <w:rPr>
          <w:rFonts w:ascii="Bookman Old Style" w:hAnsi="Bookman Old Style"/>
          <w:sz w:val="28"/>
          <w:szCs w:val="28"/>
        </w:rPr>
        <w:t xml:space="preserve">the </w:t>
      </w:r>
      <w:r w:rsidRPr="00E61028">
        <w:rPr>
          <w:rFonts w:ascii="Bookman Old Style" w:hAnsi="Bookman Old Style"/>
          <w:sz w:val="28"/>
          <w:szCs w:val="28"/>
        </w:rPr>
        <w:t>5</w:t>
      </w:r>
      <w:r w:rsidR="00E61028" w:rsidRPr="00E61028">
        <w:rPr>
          <w:rFonts w:ascii="Bookman Old Style" w:hAnsi="Bookman Old Style"/>
          <w:sz w:val="28"/>
          <w:szCs w:val="28"/>
          <w:vertAlign w:val="superscript"/>
        </w:rPr>
        <w:t>th</w:t>
      </w:r>
      <w:r w:rsidR="00E61028">
        <w:rPr>
          <w:rFonts w:ascii="Bookman Old Style" w:hAnsi="Bookman Old Style"/>
          <w:sz w:val="28"/>
          <w:szCs w:val="28"/>
        </w:rPr>
        <w:t xml:space="preserve"> day of June 20</w:t>
      </w:r>
      <w:r w:rsidRPr="00E61028">
        <w:rPr>
          <w:rFonts w:ascii="Bookman Old Style" w:hAnsi="Bookman Old Style"/>
          <w:sz w:val="28"/>
          <w:szCs w:val="28"/>
        </w:rPr>
        <w:t xml:space="preserve">14 in which he </w:t>
      </w:r>
      <w:r w:rsidR="00DE1389" w:rsidRPr="00E61028">
        <w:rPr>
          <w:rFonts w:ascii="Bookman Old Style" w:hAnsi="Bookman Old Style"/>
          <w:sz w:val="28"/>
          <w:szCs w:val="28"/>
        </w:rPr>
        <w:t xml:space="preserve">ruled that a claim on instruction fees ought not to be pegged on the alleged value claimed in the plaint, but rather on the tested and proven value given in the judgment.  Further that the Registrar considered </w:t>
      </w:r>
      <w:r w:rsidR="00E61028">
        <w:rPr>
          <w:rFonts w:ascii="Bookman Old Style" w:hAnsi="Bookman Old Style"/>
          <w:sz w:val="28"/>
          <w:szCs w:val="28"/>
        </w:rPr>
        <w:t xml:space="preserve">Ug. Shs. </w:t>
      </w:r>
      <w:r w:rsidR="00DE1389" w:rsidRPr="00E61028">
        <w:rPr>
          <w:rFonts w:ascii="Bookman Old Style" w:hAnsi="Bookman Old Style"/>
          <w:sz w:val="28"/>
          <w:szCs w:val="28"/>
        </w:rPr>
        <w:t>31,000,000</w:t>
      </w:r>
      <w:r w:rsidR="00E61028">
        <w:rPr>
          <w:rFonts w:ascii="Bookman Old Style" w:hAnsi="Bookman Old Style"/>
          <w:sz w:val="28"/>
          <w:szCs w:val="28"/>
        </w:rPr>
        <w:t xml:space="preserve"> and general damages of Ug. Shs. </w:t>
      </w:r>
      <w:r w:rsidR="00DE1389" w:rsidRPr="00E61028">
        <w:rPr>
          <w:rFonts w:ascii="Bookman Old Style" w:hAnsi="Bookman Old Style"/>
          <w:sz w:val="28"/>
          <w:szCs w:val="28"/>
        </w:rPr>
        <w:t>9,000,000 as part of the subject matter claim and hence came up with a total instruction fee. Mr Mbogo deposed that the Registrar wrongly and erroneously considered the aggregate work done to complete the case and the subject matter value and awarded Ug</w:t>
      </w:r>
      <w:r w:rsidR="00E61028">
        <w:rPr>
          <w:rFonts w:ascii="Bookman Old Style" w:hAnsi="Bookman Old Style"/>
          <w:sz w:val="28"/>
          <w:szCs w:val="28"/>
        </w:rPr>
        <w:t xml:space="preserve">. Shs. </w:t>
      </w:r>
      <w:r w:rsidR="00DE1389" w:rsidRPr="00E61028">
        <w:rPr>
          <w:rFonts w:ascii="Bookman Old Style" w:hAnsi="Bookman Old Style"/>
          <w:sz w:val="28"/>
          <w:szCs w:val="28"/>
        </w:rPr>
        <w:t>10,000,000.</w:t>
      </w:r>
    </w:p>
    <w:p w:rsidR="00DE1389" w:rsidRPr="00E61028" w:rsidRDefault="00DE1389" w:rsidP="00370BDA">
      <w:pPr>
        <w:spacing w:line="480" w:lineRule="auto"/>
        <w:jc w:val="both"/>
        <w:rPr>
          <w:rFonts w:ascii="Bookman Old Style" w:hAnsi="Bookman Old Style"/>
          <w:sz w:val="28"/>
          <w:szCs w:val="28"/>
        </w:rPr>
      </w:pPr>
      <w:r w:rsidRPr="00E61028">
        <w:rPr>
          <w:rFonts w:ascii="Bookman Old Style" w:hAnsi="Bookman Old Style"/>
          <w:sz w:val="28"/>
          <w:szCs w:val="28"/>
        </w:rPr>
        <w:lastRenderedPageBreak/>
        <w:t xml:space="preserve">The Respondent did not file an affidavit in reply.  </w:t>
      </w:r>
      <w:r w:rsidR="00EE26FA" w:rsidRPr="00E61028">
        <w:rPr>
          <w:rFonts w:ascii="Bookman Old Style" w:hAnsi="Bookman Old Style"/>
          <w:sz w:val="28"/>
          <w:szCs w:val="28"/>
        </w:rPr>
        <w:t>Both parties</w:t>
      </w:r>
      <w:r w:rsidRPr="00E61028">
        <w:rPr>
          <w:rFonts w:ascii="Bookman Old Style" w:hAnsi="Bookman Old Style"/>
          <w:sz w:val="28"/>
          <w:szCs w:val="28"/>
        </w:rPr>
        <w:t xml:space="preserve"> filed written submissions and attached authorities which are on record and have been duly considered.</w:t>
      </w:r>
    </w:p>
    <w:p w:rsidR="00570EA0" w:rsidRPr="00E61028" w:rsidRDefault="00570EA0" w:rsidP="00370BDA">
      <w:pPr>
        <w:spacing w:line="480" w:lineRule="auto"/>
        <w:jc w:val="both"/>
        <w:rPr>
          <w:rFonts w:ascii="Bookman Old Style" w:hAnsi="Bookman Old Style" w:cs="Calibri"/>
          <w:sz w:val="28"/>
          <w:szCs w:val="28"/>
        </w:rPr>
      </w:pPr>
      <w:r w:rsidRPr="00E61028">
        <w:rPr>
          <w:rFonts w:ascii="Bookman Old Style" w:eastAsia="Times New Roman" w:hAnsi="Bookman Old Style" w:cs="Calibri"/>
          <w:sz w:val="28"/>
          <w:szCs w:val="28"/>
        </w:rPr>
        <w:t xml:space="preserve">The principles to be applied by an appellate court while reviewing an award by a taxing master were laid out by the </w:t>
      </w:r>
      <w:r w:rsidRPr="00E61028">
        <w:rPr>
          <w:rFonts w:ascii="Bookman Old Style" w:eastAsia="Times New Roman" w:hAnsi="Bookman Old Style" w:cs="Calibri"/>
          <w:b/>
          <w:bCs/>
          <w:sz w:val="28"/>
          <w:szCs w:val="28"/>
        </w:rPr>
        <w:t>Hon. Justice S.T Manyindo</w:t>
      </w:r>
      <w:r w:rsidR="00A90C8A">
        <w:rPr>
          <w:rFonts w:ascii="Bookman Old Style" w:eastAsia="Times New Roman" w:hAnsi="Bookman Old Style" w:cs="Calibri"/>
          <w:sz w:val="28"/>
          <w:szCs w:val="28"/>
        </w:rPr>
        <w:t xml:space="preserve">, </w:t>
      </w:r>
      <w:r w:rsidRPr="00E61028">
        <w:rPr>
          <w:rFonts w:ascii="Bookman Old Style" w:eastAsia="Times New Roman" w:hAnsi="Bookman Old Style" w:cs="Calibri"/>
          <w:sz w:val="28"/>
          <w:szCs w:val="28"/>
        </w:rPr>
        <w:t xml:space="preserve">DCJ as he then </w:t>
      </w:r>
      <w:r w:rsidR="00A90C8A">
        <w:rPr>
          <w:rFonts w:ascii="Bookman Old Style" w:eastAsia="Times New Roman" w:hAnsi="Bookman Old Style" w:cs="Calibri"/>
          <w:sz w:val="28"/>
          <w:szCs w:val="28"/>
        </w:rPr>
        <w:t>was,</w:t>
      </w:r>
      <w:r w:rsidRPr="00E61028">
        <w:rPr>
          <w:rFonts w:ascii="Bookman Old Style" w:eastAsia="Times New Roman" w:hAnsi="Bookman Old Style" w:cs="Calibri"/>
          <w:sz w:val="28"/>
          <w:szCs w:val="28"/>
        </w:rPr>
        <w:t xml:space="preserve"> in the case of </w:t>
      </w:r>
      <w:r w:rsidRPr="00E61028">
        <w:rPr>
          <w:rFonts w:ascii="Bookman Old Style" w:eastAsia="Times New Roman" w:hAnsi="Bookman Old Style" w:cs="Calibri"/>
          <w:sz w:val="28"/>
          <w:szCs w:val="28"/>
        </w:rPr>
        <w:br/>
      </w:r>
      <w:r w:rsidR="00A90C8A">
        <w:rPr>
          <w:rFonts w:ascii="Bookman Old Style" w:eastAsia="Times New Roman" w:hAnsi="Bookman Old Style" w:cs="Calibri"/>
          <w:b/>
          <w:bCs/>
          <w:sz w:val="28"/>
          <w:szCs w:val="28"/>
        </w:rPr>
        <w:t>Nicholas Roussos versus</w:t>
      </w:r>
      <w:r w:rsidRPr="00E61028">
        <w:rPr>
          <w:rFonts w:ascii="Bookman Old Style" w:eastAsia="Times New Roman" w:hAnsi="Bookman Old Style" w:cs="Calibri"/>
          <w:b/>
          <w:bCs/>
          <w:sz w:val="28"/>
          <w:szCs w:val="28"/>
        </w:rPr>
        <w:t xml:space="preserve"> Gulam Hussein Habib Virani and Nasmudin Habib Virani </w:t>
      </w:r>
      <w:r w:rsidRPr="00A90C8A">
        <w:rPr>
          <w:rFonts w:ascii="Bookman Old Style" w:eastAsia="Times New Roman" w:hAnsi="Bookman Old Style" w:cs="Calibri"/>
          <w:bCs/>
          <w:sz w:val="28"/>
          <w:szCs w:val="28"/>
        </w:rPr>
        <w:t>in</w:t>
      </w:r>
      <w:r w:rsidRPr="00E61028">
        <w:rPr>
          <w:rFonts w:ascii="Bookman Old Style" w:eastAsia="Times New Roman" w:hAnsi="Bookman Old Style" w:cs="Calibri"/>
          <w:b/>
          <w:bCs/>
          <w:sz w:val="28"/>
          <w:szCs w:val="28"/>
        </w:rPr>
        <w:t xml:space="preserve"> Civil Appeal No.6 of 1995.</w:t>
      </w:r>
    </w:p>
    <w:p w:rsidR="00570EA0" w:rsidRPr="00E61028" w:rsidRDefault="00570EA0" w:rsidP="00370BDA">
      <w:pPr>
        <w:spacing w:after="0" w:line="480" w:lineRule="auto"/>
        <w:jc w:val="both"/>
        <w:rPr>
          <w:rFonts w:ascii="Bookman Old Style" w:eastAsia="Times New Roman" w:hAnsi="Bookman Old Style" w:cs="Calibri"/>
          <w:sz w:val="28"/>
          <w:szCs w:val="28"/>
        </w:rPr>
      </w:pPr>
      <w:r w:rsidRPr="00E61028">
        <w:rPr>
          <w:rFonts w:ascii="Bookman Old Style" w:eastAsia="Times New Roman" w:hAnsi="Bookman Old Style" w:cs="Calibri"/>
          <w:sz w:val="28"/>
          <w:szCs w:val="28"/>
        </w:rPr>
        <w:t>In that case he held;</w:t>
      </w:r>
    </w:p>
    <w:p w:rsidR="00570EA0" w:rsidRPr="00E61028" w:rsidRDefault="00570EA0" w:rsidP="00370BDA">
      <w:pPr>
        <w:spacing w:after="0" w:line="480" w:lineRule="auto"/>
        <w:jc w:val="both"/>
        <w:rPr>
          <w:rFonts w:ascii="Bookman Old Style" w:eastAsia="Times New Roman" w:hAnsi="Bookman Old Style" w:cs="Calibri"/>
          <w:sz w:val="28"/>
          <w:szCs w:val="28"/>
        </w:rPr>
      </w:pPr>
      <w:r w:rsidRPr="00E61028">
        <w:rPr>
          <w:rFonts w:ascii="Bookman Old Style" w:eastAsia="Times New Roman" w:hAnsi="Bookman Old Style" w:cs="Calibri"/>
          <w:i/>
          <w:iCs/>
          <w:sz w:val="28"/>
          <w:szCs w:val="28"/>
        </w:rPr>
        <w:t>“…that court should interfere where there has been an error in principle but should not do so in question’s solely of quantum as that is an area where the taxing officer is more experienced and therefore more apt to the job. The court will intervene only in exceptional cases…”</w:t>
      </w:r>
    </w:p>
    <w:p w:rsidR="00155153" w:rsidRPr="00E61028" w:rsidRDefault="00155153" w:rsidP="00370BDA">
      <w:pPr>
        <w:spacing w:after="0" w:line="480" w:lineRule="auto"/>
        <w:jc w:val="both"/>
        <w:rPr>
          <w:rFonts w:ascii="Bookman Old Style" w:eastAsia="Times New Roman" w:hAnsi="Bookman Old Style" w:cs="Calibri"/>
          <w:sz w:val="28"/>
          <w:szCs w:val="28"/>
        </w:rPr>
      </w:pPr>
      <w:r w:rsidRPr="00E61028">
        <w:rPr>
          <w:rFonts w:ascii="Bookman Old Style" w:eastAsia="Times New Roman" w:hAnsi="Bookman Old Style" w:cs="Calibri"/>
          <w:sz w:val="28"/>
          <w:szCs w:val="28"/>
        </w:rPr>
        <w:t xml:space="preserve">The principles of taxation of advocates of bills on a reference have time and again be stated by the courts, following the decision in the case of </w:t>
      </w:r>
      <w:r w:rsidRPr="00E61028">
        <w:rPr>
          <w:rFonts w:ascii="Bookman Old Style" w:eastAsia="Times New Roman" w:hAnsi="Bookman Old Style" w:cs="Calibri"/>
          <w:b/>
          <w:sz w:val="28"/>
          <w:szCs w:val="28"/>
        </w:rPr>
        <w:t>Prem</w:t>
      </w:r>
      <w:r w:rsidR="00A90C8A">
        <w:rPr>
          <w:rFonts w:ascii="Bookman Old Style" w:eastAsia="Times New Roman" w:hAnsi="Bookman Old Style" w:cs="Calibri"/>
          <w:b/>
          <w:sz w:val="28"/>
          <w:szCs w:val="28"/>
        </w:rPr>
        <w:t>chand Raichand Ltd. &amp; Another versus</w:t>
      </w:r>
      <w:r w:rsidRPr="00E61028">
        <w:rPr>
          <w:rFonts w:ascii="Bookman Old Style" w:eastAsia="Times New Roman" w:hAnsi="Bookman Old Style" w:cs="Calibri"/>
          <w:b/>
          <w:sz w:val="28"/>
          <w:szCs w:val="28"/>
        </w:rPr>
        <w:t xml:space="preserve"> Quarry Services of East Africa Ltd. &amp; Others [1972] EA 162</w:t>
      </w:r>
      <w:r w:rsidRPr="00E61028">
        <w:rPr>
          <w:rFonts w:ascii="Bookman Old Style" w:eastAsia="Times New Roman" w:hAnsi="Bookman Old Style" w:cs="Calibri"/>
          <w:sz w:val="28"/>
          <w:szCs w:val="28"/>
        </w:rPr>
        <w:t xml:space="preserve">. They were </w:t>
      </w:r>
      <w:r w:rsidRPr="00E61028">
        <w:rPr>
          <w:rFonts w:ascii="Bookman Old Style" w:eastAsia="Times New Roman" w:hAnsi="Bookman Old Style" w:cs="Calibri"/>
          <w:sz w:val="28"/>
          <w:szCs w:val="28"/>
        </w:rPr>
        <w:lastRenderedPageBreak/>
        <w:t xml:space="preserve">re-stated in the case of </w:t>
      </w:r>
      <w:r w:rsidR="00A90C8A">
        <w:rPr>
          <w:rFonts w:ascii="Bookman Old Style" w:eastAsia="Times New Roman" w:hAnsi="Bookman Old Style" w:cs="Calibri"/>
          <w:b/>
          <w:sz w:val="28"/>
          <w:szCs w:val="28"/>
        </w:rPr>
        <w:t>Akisoferi Ogola versus</w:t>
      </w:r>
      <w:r w:rsidRPr="00E61028">
        <w:rPr>
          <w:rFonts w:ascii="Bookman Old Style" w:eastAsia="Times New Roman" w:hAnsi="Bookman Old Style" w:cs="Calibri"/>
          <w:b/>
          <w:sz w:val="28"/>
          <w:szCs w:val="28"/>
        </w:rPr>
        <w:t xml:space="preserve"> Akika Othieno &amp; Another, C/A Civil Appeal No. 18 of 1999</w:t>
      </w:r>
      <w:r w:rsidRPr="00E61028">
        <w:rPr>
          <w:rFonts w:ascii="Bookman Old Style" w:eastAsia="Times New Roman" w:hAnsi="Bookman Old Style" w:cs="Calibri"/>
          <w:sz w:val="28"/>
          <w:szCs w:val="28"/>
        </w:rPr>
        <w:t xml:space="preserve"> as follows: -</w:t>
      </w:r>
    </w:p>
    <w:p w:rsidR="00155153" w:rsidRPr="00E61028" w:rsidRDefault="00155153" w:rsidP="00370BDA">
      <w:pPr>
        <w:spacing w:after="0" w:line="480" w:lineRule="auto"/>
        <w:jc w:val="both"/>
        <w:rPr>
          <w:rFonts w:ascii="Bookman Old Style" w:eastAsia="Times New Roman" w:hAnsi="Bookman Old Style" w:cs="Calibri"/>
          <w:sz w:val="28"/>
          <w:szCs w:val="28"/>
        </w:rPr>
      </w:pPr>
      <w:r w:rsidRPr="00E61028">
        <w:rPr>
          <w:rFonts w:ascii="Bookman Old Style" w:eastAsia="Times New Roman" w:hAnsi="Bookman Old Style" w:cs="Calibri"/>
          <w:sz w:val="28"/>
          <w:szCs w:val="28"/>
        </w:rPr>
        <w:t xml:space="preserve"> i)            The court will only interfere with an award o</w:t>
      </w:r>
      <w:r w:rsidR="00A90C8A">
        <w:rPr>
          <w:rFonts w:ascii="Bookman Old Style" w:eastAsia="Times New Roman" w:hAnsi="Bookman Old Style" w:cs="Calibri"/>
          <w:sz w:val="28"/>
          <w:szCs w:val="28"/>
        </w:rPr>
        <w:t>f costs by the taxing officer if</w:t>
      </w:r>
      <w:r w:rsidRPr="00E61028">
        <w:rPr>
          <w:rFonts w:ascii="Bookman Old Style" w:eastAsia="Times New Roman" w:hAnsi="Bookman Old Style" w:cs="Calibri"/>
          <w:sz w:val="28"/>
          <w:szCs w:val="28"/>
        </w:rPr>
        <w:t xml:space="preserve"> such costs are so low or so high that they amount to an injustice to one of the parties.</w:t>
      </w:r>
    </w:p>
    <w:p w:rsidR="00155153" w:rsidRPr="00E61028" w:rsidRDefault="00155153" w:rsidP="00370BDA">
      <w:pPr>
        <w:spacing w:after="0" w:line="480" w:lineRule="auto"/>
        <w:jc w:val="both"/>
        <w:rPr>
          <w:rFonts w:ascii="Bookman Old Style" w:eastAsia="Times New Roman" w:hAnsi="Bookman Old Style" w:cs="Calibri"/>
          <w:sz w:val="28"/>
          <w:szCs w:val="28"/>
        </w:rPr>
      </w:pPr>
      <w:r w:rsidRPr="00E61028">
        <w:rPr>
          <w:rFonts w:ascii="Bookman Old Style" w:eastAsia="Times New Roman" w:hAnsi="Bookman Old Style" w:cs="Calibri"/>
          <w:sz w:val="28"/>
          <w:szCs w:val="28"/>
        </w:rPr>
        <w:t>ii)            Costs must not be allowed to rise to such a level so as to confine access to the courts only to the rich.</w:t>
      </w:r>
    </w:p>
    <w:p w:rsidR="00155153" w:rsidRPr="00E61028" w:rsidRDefault="00155153" w:rsidP="00370BDA">
      <w:pPr>
        <w:spacing w:after="0" w:line="480" w:lineRule="auto"/>
        <w:jc w:val="both"/>
        <w:rPr>
          <w:rFonts w:ascii="Bookman Old Style" w:eastAsia="Times New Roman" w:hAnsi="Bookman Old Style" w:cs="Calibri"/>
          <w:sz w:val="28"/>
          <w:szCs w:val="28"/>
        </w:rPr>
      </w:pPr>
      <w:r w:rsidRPr="00E61028">
        <w:rPr>
          <w:rFonts w:ascii="Bookman Old Style" w:eastAsia="Times New Roman" w:hAnsi="Bookman Old Style" w:cs="Calibri"/>
          <w:sz w:val="28"/>
          <w:szCs w:val="28"/>
        </w:rPr>
        <w:t>iii)            That a successful litigant ought to be fairly reimbursed for costs he or she has to incur.</w:t>
      </w:r>
    </w:p>
    <w:p w:rsidR="00155153" w:rsidRPr="00E61028" w:rsidRDefault="00155153" w:rsidP="00370BDA">
      <w:pPr>
        <w:spacing w:after="0" w:line="480" w:lineRule="auto"/>
        <w:jc w:val="both"/>
        <w:rPr>
          <w:rFonts w:ascii="Bookman Old Style" w:eastAsia="Times New Roman" w:hAnsi="Bookman Old Style" w:cs="Calibri"/>
          <w:sz w:val="28"/>
          <w:szCs w:val="28"/>
        </w:rPr>
      </w:pPr>
      <w:r w:rsidRPr="00E61028">
        <w:rPr>
          <w:rFonts w:ascii="Bookman Old Style" w:eastAsia="Times New Roman" w:hAnsi="Bookman Old Style" w:cs="Calibri"/>
          <w:sz w:val="28"/>
          <w:szCs w:val="28"/>
        </w:rPr>
        <w:t>iv)           That the general level of remuneration of advocates must be such as to attract recruits to the profession, and finally,</w:t>
      </w:r>
    </w:p>
    <w:p w:rsidR="00155153" w:rsidRPr="00E61028" w:rsidRDefault="00155153" w:rsidP="00370BDA">
      <w:pPr>
        <w:spacing w:after="0" w:line="480" w:lineRule="auto"/>
        <w:jc w:val="both"/>
        <w:rPr>
          <w:rFonts w:ascii="Bookman Old Style" w:eastAsia="Times New Roman" w:hAnsi="Bookman Old Style" w:cs="Calibri"/>
          <w:sz w:val="28"/>
          <w:szCs w:val="28"/>
        </w:rPr>
      </w:pPr>
      <w:r w:rsidRPr="00E61028">
        <w:rPr>
          <w:rFonts w:ascii="Bookman Old Style" w:eastAsia="Times New Roman" w:hAnsi="Bookman Old Style" w:cs="Calibri"/>
          <w:sz w:val="28"/>
          <w:szCs w:val="28"/>
        </w:rPr>
        <w:t xml:space="preserve"> v)            That as far as possible there should be some consistency in the award of costs.</w:t>
      </w:r>
    </w:p>
    <w:p w:rsidR="00570EA0" w:rsidRPr="00E61028" w:rsidRDefault="00570EA0" w:rsidP="00370BDA">
      <w:pPr>
        <w:spacing w:after="0" w:line="480" w:lineRule="auto"/>
        <w:jc w:val="both"/>
        <w:rPr>
          <w:rFonts w:ascii="Bookman Old Style" w:eastAsia="Times New Roman" w:hAnsi="Bookman Old Style" w:cs="Calibri"/>
          <w:sz w:val="28"/>
          <w:szCs w:val="28"/>
        </w:rPr>
      </w:pPr>
      <w:r w:rsidRPr="00E61028">
        <w:rPr>
          <w:rFonts w:ascii="Bookman Old Style" w:eastAsia="Times New Roman" w:hAnsi="Bookman Old Style" w:cs="Calibri"/>
          <w:sz w:val="28"/>
          <w:szCs w:val="28"/>
        </w:rPr>
        <w:t>Justice S.T Manyindo in the case of</w:t>
      </w:r>
      <w:r w:rsidRPr="00E61028">
        <w:rPr>
          <w:rFonts w:ascii="Bookman Old Style" w:eastAsia="Times New Roman" w:hAnsi="Bookman Old Style" w:cs="Calibri"/>
          <w:b/>
          <w:bCs/>
          <w:sz w:val="28"/>
          <w:szCs w:val="28"/>
        </w:rPr>
        <w:t xml:space="preserve"> Nicholas Roussos case (supra) </w:t>
      </w:r>
      <w:r w:rsidRPr="00E61028">
        <w:rPr>
          <w:rFonts w:ascii="Bookman Old Style" w:eastAsia="Times New Roman" w:hAnsi="Bookman Old Style" w:cs="Calibri"/>
          <w:sz w:val="28"/>
          <w:szCs w:val="28"/>
        </w:rPr>
        <w:t>went further to find thus;</w:t>
      </w:r>
    </w:p>
    <w:p w:rsidR="00570EA0" w:rsidRPr="00E61028" w:rsidRDefault="00570EA0" w:rsidP="00370BDA">
      <w:pPr>
        <w:spacing w:after="0" w:line="480" w:lineRule="auto"/>
        <w:jc w:val="both"/>
        <w:rPr>
          <w:rFonts w:ascii="Bookman Old Style" w:eastAsia="Times New Roman" w:hAnsi="Bookman Old Style" w:cs="Calibri"/>
          <w:sz w:val="28"/>
          <w:szCs w:val="28"/>
        </w:rPr>
      </w:pPr>
      <w:r w:rsidRPr="00E61028">
        <w:rPr>
          <w:rFonts w:ascii="Bookman Old Style" w:eastAsia="Times New Roman" w:hAnsi="Bookman Old Style" w:cs="Calibri"/>
          <w:i/>
          <w:iCs/>
          <w:sz w:val="28"/>
          <w:szCs w:val="28"/>
        </w:rPr>
        <w:t>“…it is important that advocates should be well motivated but it is also in the public interest that cost be kept to a reasonable level so that justice is not put beyond the reach of poor litigants...”</w:t>
      </w:r>
    </w:p>
    <w:p w:rsidR="00570EA0" w:rsidRPr="00E61028" w:rsidRDefault="00570EA0" w:rsidP="00370BDA">
      <w:pPr>
        <w:spacing w:line="480" w:lineRule="auto"/>
        <w:jc w:val="both"/>
        <w:rPr>
          <w:rFonts w:ascii="Bookman Old Style" w:hAnsi="Bookman Old Style" w:cs="Calibri"/>
          <w:b/>
          <w:bCs/>
          <w:sz w:val="28"/>
          <w:szCs w:val="28"/>
        </w:rPr>
      </w:pPr>
      <w:r w:rsidRPr="00E61028">
        <w:rPr>
          <w:rFonts w:ascii="Bookman Old Style" w:hAnsi="Bookman Old Style" w:cs="Calibri"/>
          <w:sz w:val="28"/>
          <w:szCs w:val="28"/>
        </w:rPr>
        <w:t xml:space="preserve">What is important is that a taxing officer exercises the correct thought process and once the thought process has been exercised </w:t>
      </w:r>
      <w:r w:rsidRPr="00E61028">
        <w:rPr>
          <w:rFonts w:ascii="Bookman Old Style" w:hAnsi="Bookman Old Style" w:cs="Calibri"/>
          <w:sz w:val="28"/>
          <w:szCs w:val="28"/>
        </w:rPr>
        <w:lastRenderedPageBreak/>
        <w:t xml:space="preserve">the award will be upheld on appeal. </w:t>
      </w:r>
      <w:r w:rsidR="00A90C8A" w:rsidRPr="00A90C8A">
        <w:rPr>
          <w:rFonts w:ascii="Bookman Old Style" w:hAnsi="Bookman Old Style" w:cs="Calibri"/>
          <w:b/>
          <w:sz w:val="28"/>
          <w:szCs w:val="28"/>
        </w:rPr>
        <w:t>See:</w:t>
      </w:r>
      <w:r w:rsidR="00A90C8A">
        <w:rPr>
          <w:rFonts w:ascii="Bookman Old Style" w:hAnsi="Bookman Old Style" w:cs="Calibri"/>
          <w:sz w:val="28"/>
          <w:szCs w:val="28"/>
        </w:rPr>
        <w:t xml:space="preserve"> </w:t>
      </w:r>
      <w:r w:rsidR="00A90C8A">
        <w:rPr>
          <w:rFonts w:ascii="Bookman Old Style" w:hAnsi="Bookman Old Style" w:cs="Calibri"/>
          <w:b/>
          <w:bCs/>
          <w:sz w:val="28"/>
          <w:szCs w:val="28"/>
        </w:rPr>
        <w:t>Alexander Okello versus</w:t>
      </w:r>
      <w:r w:rsidRPr="00E61028">
        <w:rPr>
          <w:rFonts w:ascii="Bookman Old Style" w:hAnsi="Bookman Old Style" w:cs="Calibri"/>
          <w:b/>
          <w:bCs/>
          <w:sz w:val="28"/>
          <w:szCs w:val="28"/>
        </w:rPr>
        <w:t xml:space="preserve"> M/s Kayondo and Co.</w:t>
      </w:r>
      <w:r w:rsidR="00A90C8A">
        <w:rPr>
          <w:rFonts w:ascii="Bookman Old Style" w:hAnsi="Bookman Old Style" w:cs="Calibri"/>
          <w:b/>
          <w:bCs/>
          <w:sz w:val="28"/>
          <w:szCs w:val="28"/>
        </w:rPr>
        <w:t xml:space="preserve"> Advocates Civil Appeal NO. 1 of</w:t>
      </w:r>
      <w:r w:rsidRPr="00E61028">
        <w:rPr>
          <w:rFonts w:ascii="Bookman Old Style" w:hAnsi="Bookman Old Style" w:cs="Calibri"/>
          <w:b/>
          <w:bCs/>
          <w:sz w:val="28"/>
          <w:szCs w:val="28"/>
        </w:rPr>
        <w:t xml:space="preserve"> 1997</w:t>
      </w:r>
      <w:r w:rsidR="00A90C8A">
        <w:rPr>
          <w:rFonts w:ascii="Bookman Old Style" w:hAnsi="Bookman Old Style" w:cs="Calibri"/>
          <w:b/>
          <w:bCs/>
          <w:sz w:val="28"/>
          <w:szCs w:val="28"/>
        </w:rPr>
        <w:t>.</w:t>
      </w:r>
    </w:p>
    <w:p w:rsidR="003A3B6E" w:rsidRPr="00E61028" w:rsidRDefault="00A90C8A" w:rsidP="00370BDA">
      <w:pPr>
        <w:spacing w:line="480" w:lineRule="auto"/>
        <w:jc w:val="both"/>
        <w:rPr>
          <w:rFonts w:ascii="Bookman Old Style" w:hAnsi="Bookman Old Style" w:cs="Calibri"/>
          <w:sz w:val="28"/>
          <w:szCs w:val="28"/>
        </w:rPr>
      </w:pPr>
      <w:r>
        <w:rPr>
          <w:rFonts w:ascii="Bookman Old Style" w:hAnsi="Bookman Old Style" w:cs="Calibri"/>
          <w:sz w:val="28"/>
          <w:szCs w:val="28"/>
        </w:rPr>
        <w:t xml:space="preserve">Further, it should be noted that that </w:t>
      </w:r>
      <w:r w:rsidR="00A30BFD" w:rsidRPr="00E61028">
        <w:rPr>
          <w:rFonts w:ascii="Bookman Old Style" w:hAnsi="Bookman Old Style" w:cs="Calibri"/>
          <w:sz w:val="28"/>
          <w:szCs w:val="28"/>
        </w:rPr>
        <w:t>In</w:t>
      </w:r>
      <w:r w:rsidR="00EE26FA" w:rsidRPr="00E61028">
        <w:rPr>
          <w:rFonts w:ascii="Bookman Old Style" w:hAnsi="Bookman Old Style" w:cs="Calibri"/>
          <w:sz w:val="28"/>
          <w:szCs w:val="28"/>
        </w:rPr>
        <w:t xml:space="preserve">struction fees </w:t>
      </w:r>
      <w:r>
        <w:rPr>
          <w:rFonts w:ascii="Bookman Old Style" w:hAnsi="Bookman Old Style" w:cs="Calibri"/>
          <w:sz w:val="28"/>
          <w:szCs w:val="28"/>
        </w:rPr>
        <w:t>ought to</w:t>
      </w:r>
      <w:r w:rsidR="00EE26FA" w:rsidRPr="00E61028">
        <w:rPr>
          <w:rFonts w:ascii="Bookman Old Style" w:hAnsi="Bookman Old Style" w:cs="Calibri"/>
          <w:sz w:val="28"/>
          <w:szCs w:val="28"/>
        </w:rPr>
        <w:t xml:space="preserve"> be based o</w:t>
      </w:r>
      <w:r w:rsidR="00A30BFD" w:rsidRPr="00E61028">
        <w:rPr>
          <w:rFonts w:ascii="Bookman Old Style" w:hAnsi="Bookman Old Style" w:cs="Calibri"/>
          <w:sz w:val="28"/>
          <w:szCs w:val="28"/>
        </w:rPr>
        <w:t>n the amount of work involved in preparing for the hearing, the difficulty and importance of the case and the amount involved</w:t>
      </w:r>
      <w:r>
        <w:rPr>
          <w:rFonts w:ascii="Bookman Old Style" w:hAnsi="Bookman Old Style" w:cs="Calibri"/>
          <w:sz w:val="28"/>
          <w:szCs w:val="28"/>
        </w:rPr>
        <w:t xml:space="preserve">. </w:t>
      </w:r>
      <w:r w:rsidRPr="00A90C8A">
        <w:rPr>
          <w:rFonts w:ascii="Bookman Old Style" w:hAnsi="Bookman Old Style" w:cs="Calibri"/>
          <w:b/>
          <w:sz w:val="28"/>
          <w:szCs w:val="28"/>
        </w:rPr>
        <w:t xml:space="preserve">See: </w:t>
      </w:r>
      <w:r>
        <w:rPr>
          <w:rFonts w:ascii="Bookman Old Style" w:hAnsi="Bookman Old Style" w:cs="Calibri"/>
          <w:b/>
          <w:sz w:val="28"/>
          <w:szCs w:val="28"/>
        </w:rPr>
        <w:t>Patrick Makumbi versus Sole Electrics (U) Ltd.</w:t>
      </w:r>
      <w:r w:rsidR="00155153" w:rsidRPr="00E61028">
        <w:rPr>
          <w:rFonts w:ascii="Bookman Old Style" w:hAnsi="Bookman Old Style" w:cs="Calibri"/>
          <w:b/>
          <w:sz w:val="28"/>
          <w:szCs w:val="28"/>
        </w:rPr>
        <w:t xml:space="preserve"> S</w:t>
      </w:r>
      <w:r>
        <w:rPr>
          <w:rFonts w:ascii="Bookman Old Style" w:hAnsi="Bookman Old Style" w:cs="Calibri"/>
          <w:b/>
          <w:sz w:val="28"/>
          <w:szCs w:val="28"/>
        </w:rPr>
        <w:t xml:space="preserve">upreme </w:t>
      </w:r>
      <w:r w:rsidR="00155153" w:rsidRPr="00E61028">
        <w:rPr>
          <w:rFonts w:ascii="Bookman Old Style" w:hAnsi="Bookman Old Style" w:cs="Calibri"/>
          <w:b/>
          <w:sz w:val="28"/>
          <w:szCs w:val="28"/>
        </w:rPr>
        <w:t>C</w:t>
      </w:r>
      <w:r>
        <w:rPr>
          <w:rFonts w:ascii="Bookman Old Style" w:hAnsi="Bookman Old Style" w:cs="Calibri"/>
          <w:b/>
          <w:sz w:val="28"/>
          <w:szCs w:val="28"/>
        </w:rPr>
        <w:t>ourt</w:t>
      </w:r>
      <w:r w:rsidR="00155153" w:rsidRPr="00E61028">
        <w:rPr>
          <w:rFonts w:ascii="Bookman Old Style" w:hAnsi="Bookman Old Style" w:cs="Calibri"/>
          <w:b/>
          <w:sz w:val="28"/>
          <w:szCs w:val="28"/>
        </w:rPr>
        <w:t xml:space="preserve"> Civil Appeal No. 11 of 1994</w:t>
      </w:r>
      <w:r>
        <w:rPr>
          <w:rFonts w:ascii="Bookman Old Style" w:hAnsi="Bookman Old Style" w:cs="Calibri"/>
          <w:b/>
          <w:sz w:val="28"/>
          <w:szCs w:val="28"/>
        </w:rPr>
        <w:t>.</w:t>
      </w:r>
    </w:p>
    <w:p w:rsidR="003A3B6E" w:rsidRPr="00E61028" w:rsidRDefault="00F12CD0" w:rsidP="00370BDA">
      <w:pPr>
        <w:spacing w:line="480" w:lineRule="auto"/>
        <w:jc w:val="both"/>
        <w:rPr>
          <w:rFonts w:ascii="Bookman Old Style" w:hAnsi="Bookman Old Style" w:cs="Calibri"/>
          <w:sz w:val="28"/>
          <w:szCs w:val="28"/>
        </w:rPr>
      </w:pPr>
      <w:r w:rsidRPr="00E61028">
        <w:rPr>
          <w:rFonts w:ascii="Bookman Old Style" w:hAnsi="Bookman Old Style" w:cs="Calibri"/>
          <w:sz w:val="28"/>
          <w:szCs w:val="28"/>
        </w:rPr>
        <w:t>I</w:t>
      </w:r>
      <w:r w:rsidR="001F20F6" w:rsidRPr="00E61028">
        <w:rPr>
          <w:rFonts w:ascii="Bookman Old Style" w:hAnsi="Bookman Old Style" w:cs="Calibri"/>
          <w:sz w:val="28"/>
          <w:szCs w:val="28"/>
        </w:rPr>
        <w:t xml:space="preserve">n the instant case, </w:t>
      </w:r>
      <w:r w:rsidRPr="00E61028">
        <w:rPr>
          <w:rFonts w:ascii="Bookman Old Style" w:hAnsi="Bookman Old Style" w:cs="Calibri"/>
          <w:sz w:val="28"/>
          <w:szCs w:val="28"/>
        </w:rPr>
        <w:t>Justice Lameck N M</w:t>
      </w:r>
      <w:r w:rsidR="00021E44" w:rsidRPr="00E61028">
        <w:rPr>
          <w:rFonts w:ascii="Bookman Old Style" w:hAnsi="Bookman Old Style" w:cs="Calibri"/>
          <w:sz w:val="28"/>
          <w:szCs w:val="28"/>
        </w:rPr>
        <w:t>ukasa</w:t>
      </w:r>
      <w:r w:rsidR="001F20F6" w:rsidRPr="00E61028">
        <w:rPr>
          <w:rFonts w:ascii="Bookman Old Style" w:hAnsi="Bookman Old Style" w:cs="Calibri"/>
          <w:sz w:val="28"/>
          <w:szCs w:val="28"/>
        </w:rPr>
        <w:t xml:space="preserve"> granted general damages of Ug</w:t>
      </w:r>
      <w:r w:rsidR="00A90C8A">
        <w:rPr>
          <w:rFonts w:ascii="Bookman Old Style" w:hAnsi="Bookman Old Style" w:cs="Calibri"/>
          <w:sz w:val="28"/>
          <w:szCs w:val="28"/>
        </w:rPr>
        <w:t>. Shs.</w:t>
      </w:r>
      <w:r w:rsidR="001F20F6" w:rsidRPr="00E61028">
        <w:rPr>
          <w:rFonts w:ascii="Bookman Old Style" w:hAnsi="Bookman Old Style" w:cs="Calibri"/>
          <w:sz w:val="28"/>
          <w:szCs w:val="28"/>
        </w:rPr>
        <w:t xml:space="preserve"> 9,000,000/= along with the following orders in</w:t>
      </w:r>
      <w:r w:rsidRPr="00E61028">
        <w:rPr>
          <w:rFonts w:ascii="Bookman Old Style" w:hAnsi="Bookman Old Style" w:cs="Calibri"/>
          <w:sz w:val="28"/>
          <w:szCs w:val="28"/>
        </w:rPr>
        <w:t xml:space="preserve"> 672/05</w:t>
      </w:r>
      <w:r w:rsidR="001F20F6" w:rsidRPr="00E61028">
        <w:rPr>
          <w:rFonts w:ascii="Bookman Old Style" w:hAnsi="Bookman Old Style" w:cs="Calibri"/>
          <w:sz w:val="28"/>
          <w:szCs w:val="28"/>
        </w:rPr>
        <w:t>:</w:t>
      </w:r>
    </w:p>
    <w:p w:rsidR="003A3B6E" w:rsidRPr="00E61028" w:rsidRDefault="003A3B6E" w:rsidP="00370BDA">
      <w:pPr>
        <w:spacing w:line="480" w:lineRule="auto"/>
        <w:ind w:left="720"/>
        <w:jc w:val="both"/>
        <w:rPr>
          <w:rFonts w:ascii="Bookman Old Style" w:hAnsi="Bookman Old Style" w:cs="Calibri"/>
          <w:i/>
          <w:sz w:val="28"/>
          <w:szCs w:val="28"/>
        </w:rPr>
      </w:pPr>
      <w:r w:rsidRPr="00E61028">
        <w:rPr>
          <w:rFonts w:ascii="Bookman Old Style" w:hAnsi="Bookman Old Style" w:cs="Calibri"/>
          <w:i/>
          <w:sz w:val="28"/>
          <w:szCs w:val="28"/>
        </w:rPr>
        <w:t>“An order for specific performance do hereby issue and the Defendants are directed</w:t>
      </w:r>
      <w:r w:rsidR="001F20F6" w:rsidRPr="00E61028">
        <w:rPr>
          <w:rFonts w:ascii="Bookman Old Style" w:hAnsi="Bookman Old Style" w:cs="Calibri"/>
          <w:i/>
          <w:sz w:val="28"/>
          <w:szCs w:val="28"/>
        </w:rPr>
        <w:t xml:space="preserve"> to demarcate and plot out the</w:t>
      </w:r>
      <w:r w:rsidRPr="00E61028">
        <w:rPr>
          <w:rFonts w:ascii="Bookman Old Style" w:hAnsi="Bookman Old Style" w:cs="Calibri"/>
          <w:i/>
          <w:sz w:val="28"/>
          <w:szCs w:val="28"/>
        </w:rPr>
        <w:t xml:space="preserve"> plantation measuring approximately 23 acres from the main title Singo Block 186 Plot 16 Kabugo and execute a transfer thereof in favour of the </w:t>
      </w:r>
      <w:r w:rsidR="00A90C8A" w:rsidRPr="00E61028">
        <w:rPr>
          <w:rFonts w:ascii="Bookman Old Style" w:hAnsi="Bookman Old Style" w:cs="Calibri"/>
          <w:i/>
          <w:sz w:val="28"/>
          <w:szCs w:val="28"/>
        </w:rPr>
        <w:t>Plaintiffs</w:t>
      </w:r>
      <w:r w:rsidRPr="00E61028">
        <w:rPr>
          <w:rFonts w:ascii="Bookman Old Style" w:hAnsi="Bookman Old Style" w:cs="Calibri"/>
          <w:i/>
          <w:sz w:val="28"/>
          <w:szCs w:val="28"/>
        </w:rPr>
        <w:t xml:space="preserve"> upon the Plaintiff’s payment within 60 days from the date of this judgment of the balance on the purchase price in the sum of Shs 28,000,000/=…”</w:t>
      </w:r>
    </w:p>
    <w:p w:rsidR="006B7B9D" w:rsidRPr="00E61028" w:rsidRDefault="006B7B9D" w:rsidP="00370BDA">
      <w:pPr>
        <w:spacing w:line="480" w:lineRule="auto"/>
        <w:jc w:val="both"/>
        <w:rPr>
          <w:rFonts w:ascii="Bookman Old Style" w:hAnsi="Bookman Old Style" w:cs="Calibri"/>
          <w:sz w:val="28"/>
          <w:szCs w:val="28"/>
        </w:rPr>
      </w:pPr>
      <w:r w:rsidRPr="00E61028">
        <w:rPr>
          <w:rFonts w:ascii="Bookman Old Style" w:hAnsi="Bookman Old Style" w:cs="Calibri"/>
          <w:sz w:val="28"/>
          <w:szCs w:val="28"/>
        </w:rPr>
        <w:lastRenderedPageBreak/>
        <w:t>The Respondent’s counsel claimed Ug</w:t>
      </w:r>
      <w:r w:rsidR="00A90C8A">
        <w:rPr>
          <w:rFonts w:ascii="Bookman Old Style" w:hAnsi="Bookman Old Style" w:cs="Calibri"/>
          <w:sz w:val="28"/>
          <w:szCs w:val="28"/>
        </w:rPr>
        <w:t xml:space="preserve">. Shs. </w:t>
      </w:r>
      <w:r w:rsidRPr="00E61028">
        <w:rPr>
          <w:rFonts w:ascii="Bookman Old Style" w:hAnsi="Bookman Old Style" w:cs="Calibri"/>
          <w:sz w:val="28"/>
          <w:szCs w:val="28"/>
        </w:rPr>
        <w:t xml:space="preserve">50,000,000 as instruction fees based on the value of Ugx 500,000,000 being the subject matter value in </w:t>
      </w:r>
      <w:r w:rsidR="00A90C8A">
        <w:rPr>
          <w:rFonts w:ascii="Bookman Old Style" w:hAnsi="Bookman Old Style" w:cs="Calibri"/>
          <w:sz w:val="28"/>
          <w:szCs w:val="28"/>
        </w:rPr>
        <w:t xml:space="preserve">High </w:t>
      </w:r>
      <w:r w:rsidRPr="00E61028">
        <w:rPr>
          <w:rFonts w:ascii="Bookman Old Style" w:hAnsi="Bookman Old Style" w:cs="Calibri"/>
          <w:sz w:val="28"/>
          <w:szCs w:val="28"/>
        </w:rPr>
        <w:t>C</w:t>
      </w:r>
      <w:r w:rsidR="00A90C8A">
        <w:rPr>
          <w:rFonts w:ascii="Bookman Old Style" w:hAnsi="Bookman Old Style" w:cs="Calibri"/>
          <w:sz w:val="28"/>
          <w:szCs w:val="28"/>
        </w:rPr>
        <w:t xml:space="preserve">ourt Civil </w:t>
      </w:r>
      <w:r w:rsidRPr="00E61028">
        <w:rPr>
          <w:rFonts w:ascii="Bookman Old Style" w:hAnsi="Bookman Old Style" w:cs="Calibri"/>
          <w:sz w:val="28"/>
          <w:szCs w:val="28"/>
        </w:rPr>
        <w:t>S</w:t>
      </w:r>
      <w:r w:rsidR="00A90C8A">
        <w:rPr>
          <w:rFonts w:ascii="Bookman Old Style" w:hAnsi="Bookman Old Style" w:cs="Calibri"/>
          <w:sz w:val="28"/>
          <w:szCs w:val="28"/>
        </w:rPr>
        <w:t xml:space="preserve">uit No.  672 of </w:t>
      </w:r>
      <w:r w:rsidRPr="00E61028">
        <w:rPr>
          <w:rFonts w:ascii="Bookman Old Style" w:hAnsi="Bookman Old Style" w:cs="Calibri"/>
          <w:sz w:val="28"/>
          <w:szCs w:val="28"/>
        </w:rPr>
        <w:t>2005.</w:t>
      </w:r>
    </w:p>
    <w:p w:rsidR="006B7B9D" w:rsidRPr="00E61028" w:rsidRDefault="006B7B9D" w:rsidP="00370BDA">
      <w:pPr>
        <w:spacing w:line="480" w:lineRule="auto"/>
        <w:jc w:val="both"/>
        <w:rPr>
          <w:rFonts w:ascii="Bookman Old Style" w:hAnsi="Bookman Old Style" w:cs="Calibri"/>
          <w:sz w:val="28"/>
          <w:szCs w:val="28"/>
        </w:rPr>
      </w:pPr>
      <w:r w:rsidRPr="00E61028">
        <w:rPr>
          <w:rFonts w:ascii="Bookman Old Style" w:hAnsi="Bookman Old Style" w:cs="Calibri"/>
          <w:sz w:val="28"/>
          <w:szCs w:val="28"/>
        </w:rPr>
        <w:t>The learned registrar ruled:</w:t>
      </w:r>
    </w:p>
    <w:p w:rsidR="003A3B6E" w:rsidRPr="00E61028" w:rsidRDefault="00155153" w:rsidP="00370BDA">
      <w:pPr>
        <w:spacing w:line="480" w:lineRule="auto"/>
        <w:ind w:left="720"/>
        <w:jc w:val="both"/>
        <w:rPr>
          <w:rFonts w:ascii="Bookman Old Style" w:hAnsi="Bookman Old Style" w:cs="Calibri"/>
          <w:sz w:val="28"/>
          <w:szCs w:val="28"/>
        </w:rPr>
      </w:pPr>
      <w:r w:rsidRPr="00E61028">
        <w:rPr>
          <w:rFonts w:ascii="Bookman Old Style" w:hAnsi="Bookman Old Style" w:cs="Calibri"/>
          <w:sz w:val="28"/>
          <w:szCs w:val="28"/>
        </w:rPr>
        <w:t>“</w:t>
      </w:r>
      <w:r w:rsidR="006B7B9D" w:rsidRPr="00E61028">
        <w:rPr>
          <w:rFonts w:ascii="Bookman Old Style" w:hAnsi="Bookman Old Style" w:cs="Calibri"/>
          <w:i/>
          <w:sz w:val="28"/>
          <w:szCs w:val="28"/>
        </w:rPr>
        <w:t>Instruction fees in my view are charged on the aggregate work done to complete a case. Of</w:t>
      </w:r>
      <w:r w:rsidR="00A90C8A">
        <w:rPr>
          <w:rFonts w:ascii="Bookman Old Style" w:hAnsi="Bookman Old Style" w:cs="Calibri"/>
          <w:i/>
          <w:sz w:val="28"/>
          <w:szCs w:val="28"/>
        </w:rPr>
        <w:t xml:space="preserve"> </w:t>
      </w:r>
      <w:r w:rsidR="006B7B9D" w:rsidRPr="00E61028">
        <w:rPr>
          <w:rFonts w:ascii="Bookman Old Style" w:hAnsi="Bookman Old Style" w:cs="Calibri"/>
          <w:i/>
          <w:sz w:val="28"/>
          <w:szCs w:val="28"/>
        </w:rPr>
        <w:t>course other things are also considered</w:t>
      </w:r>
      <w:r w:rsidR="003C3542" w:rsidRPr="00E61028">
        <w:rPr>
          <w:rFonts w:ascii="Bookman Old Style" w:hAnsi="Bookman Old Style" w:cs="Calibri"/>
          <w:i/>
          <w:sz w:val="28"/>
          <w:szCs w:val="28"/>
        </w:rPr>
        <w:t xml:space="preserve"> and these include the subject matter</w:t>
      </w:r>
      <w:r w:rsidR="00A90C8A" w:rsidRPr="00E61028">
        <w:rPr>
          <w:rFonts w:ascii="Bookman Old Style" w:hAnsi="Bookman Old Style" w:cs="Calibri"/>
          <w:i/>
          <w:sz w:val="28"/>
          <w:szCs w:val="28"/>
        </w:rPr>
        <w:t>, among</w:t>
      </w:r>
      <w:r w:rsidR="003C3542" w:rsidRPr="00E61028">
        <w:rPr>
          <w:rFonts w:ascii="Bookman Old Style" w:hAnsi="Bookman Old Style" w:cs="Calibri"/>
          <w:i/>
          <w:sz w:val="28"/>
          <w:szCs w:val="28"/>
        </w:rPr>
        <w:t xml:space="preserve"> other things. Taking all these factors </w:t>
      </w:r>
      <w:r w:rsidR="00A90C8A">
        <w:rPr>
          <w:rFonts w:ascii="Bookman Old Style" w:hAnsi="Bookman Old Style" w:cs="Calibri"/>
          <w:i/>
          <w:sz w:val="28"/>
          <w:szCs w:val="28"/>
        </w:rPr>
        <w:t>into consideration, the amount o</w:t>
      </w:r>
      <w:r w:rsidR="003C3542" w:rsidRPr="00E61028">
        <w:rPr>
          <w:rFonts w:ascii="Bookman Old Style" w:hAnsi="Bookman Old Style" w:cs="Calibri"/>
          <w:i/>
          <w:sz w:val="28"/>
          <w:szCs w:val="28"/>
        </w:rPr>
        <w:t xml:space="preserve">f </w:t>
      </w:r>
      <w:r w:rsidR="00A90C8A" w:rsidRPr="00E61028">
        <w:rPr>
          <w:rFonts w:ascii="Bookman Old Style" w:hAnsi="Bookman Old Style" w:cs="Calibri"/>
          <w:i/>
          <w:sz w:val="28"/>
          <w:szCs w:val="28"/>
        </w:rPr>
        <w:t>Shs</w:t>
      </w:r>
      <w:r w:rsidR="003C3542" w:rsidRPr="00E61028">
        <w:rPr>
          <w:rFonts w:ascii="Bookman Old Style" w:hAnsi="Bookman Old Style" w:cs="Calibri"/>
          <w:i/>
          <w:sz w:val="28"/>
          <w:szCs w:val="28"/>
        </w:rPr>
        <w:t xml:space="preserve"> 50,000,000/= claimed as instruction fees is on the higher side. I substitute it with </w:t>
      </w:r>
      <w:r w:rsidR="00A90C8A" w:rsidRPr="00E61028">
        <w:rPr>
          <w:rFonts w:ascii="Bookman Old Style" w:hAnsi="Bookman Old Style" w:cs="Calibri"/>
          <w:i/>
          <w:sz w:val="28"/>
          <w:szCs w:val="28"/>
        </w:rPr>
        <w:t>Shs</w:t>
      </w:r>
      <w:r w:rsidR="003C3542" w:rsidRPr="00E61028">
        <w:rPr>
          <w:rFonts w:ascii="Bookman Old Style" w:hAnsi="Bookman Old Style" w:cs="Calibri"/>
          <w:i/>
          <w:sz w:val="28"/>
          <w:szCs w:val="28"/>
        </w:rPr>
        <w:t xml:space="preserve"> 10,000,000/=.</w:t>
      </w:r>
    </w:p>
    <w:p w:rsidR="00054C16" w:rsidRPr="00E61028" w:rsidRDefault="00054C16" w:rsidP="00370BDA">
      <w:pPr>
        <w:spacing w:line="480" w:lineRule="auto"/>
        <w:jc w:val="both"/>
        <w:rPr>
          <w:rFonts w:ascii="Bookman Old Style" w:hAnsi="Bookman Old Style" w:cs="Calibri"/>
          <w:sz w:val="28"/>
          <w:szCs w:val="28"/>
        </w:rPr>
      </w:pPr>
      <w:r w:rsidRPr="00E61028">
        <w:rPr>
          <w:rFonts w:ascii="Bookman Old Style" w:hAnsi="Bookman Old Style" w:cs="Calibri"/>
          <w:sz w:val="28"/>
          <w:szCs w:val="28"/>
        </w:rPr>
        <w:t xml:space="preserve">In the often cited case of </w:t>
      </w:r>
      <w:r w:rsidRPr="00E61028">
        <w:rPr>
          <w:rFonts w:ascii="Bookman Old Style" w:hAnsi="Bookman Old Style" w:cs="Calibri"/>
          <w:b/>
          <w:sz w:val="28"/>
          <w:szCs w:val="28"/>
        </w:rPr>
        <w:t>Premc</w:t>
      </w:r>
      <w:r w:rsidR="00A90C8A">
        <w:rPr>
          <w:rFonts w:ascii="Bookman Old Style" w:hAnsi="Bookman Old Style" w:cs="Calibri"/>
          <w:b/>
          <w:sz w:val="28"/>
          <w:szCs w:val="28"/>
        </w:rPr>
        <w:t xml:space="preserve">hand Raichand Ltd. &amp; Another versus </w:t>
      </w:r>
      <w:r w:rsidRPr="00E61028">
        <w:rPr>
          <w:rFonts w:ascii="Bookman Old Style" w:hAnsi="Bookman Old Style" w:cs="Calibri"/>
          <w:b/>
          <w:sz w:val="28"/>
          <w:szCs w:val="28"/>
        </w:rPr>
        <w:t xml:space="preserve">Quarry Services of East Africa Ltd. &amp; Others </w:t>
      </w:r>
      <w:r w:rsidRPr="00E61028">
        <w:rPr>
          <w:rFonts w:ascii="Bookman Old Style" w:hAnsi="Bookman Old Style" w:cs="Calibri"/>
          <w:sz w:val="28"/>
          <w:szCs w:val="28"/>
        </w:rPr>
        <w:t>(supra)</w:t>
      </w:r>
      <w:r w:rsidR="008F4D85">
        <w:rPr>
          <w:rFonts w:ascii="Bookman Old Style" w:hAnsi="Bookman Old Style" w:cs="Calibri"/>
          <w:sz w:val="28"/>
          <w:szCs w:val="28"/>
        </w:rPr>
        <w:t xml:space="preserve"> </w:t>
      </w:r>
      <w:r w:rsidRPr="00E61028">
        <w:rPr>
          <w:rFonts w:ascii="Bookman Old Style" w:hAnsi="Bookman Old Style" w:cs="Calibri"/>
          <w:sz w:val="28"/>
          <w:szCs w:val="28"/>
        </w:rPr>
        <w:t xml:space="preserve">the court adopted the approach for assessing an instruction fee which was proposed by Pennycuick, J. in the English case of </w:t>
      </w:r>
      <w:r w:rsidRPr="00E61028">
        <w:rPr>
          <w:rFonts w:ascii="Bookman Old Style" w:hAnsi="Bookman Old Style" w:cs="Calibri"/>
          <w:b/>
          <w:sz w:val="28"/>
          <w:szCs w:val="28"/>
        </w:rPr>
        <w:t>Simpson Motor Sales (London) Ltd. v</w:t>
      </w:r>
      <w:r w:rsidR="00A90C8A">
        <w:rPr>
          <w:rFonts w:ascii="Bookman Old Style" w:hAnsi="Bookman Old Style" w:cs="Calibri"/>
          <w:b/>
          <w:sz w:val="28"/>
          <w:szCs w:val="28"/>
        </w:rPr>
        <w:t>ersus</w:t>
      </w:r>
      <w:r w:rsidRPr="00E61028">
        <w:rPr>
          <w:rFonts w:ascii="Bookman Old Style" w:hAnsi="Bookman Old Style" w:cs="Calibri"/>
          <w:b/>
          <w:sz w:val="28"/>
          <w:szCs w:val="28"/>
        </w:rPr>
        <w:t xml:space="preserve"> Hendon Corp</w:t>
      </w:r>
      <w:r w:rsidR="00A90C8A">
        <w:rPr>
          <w:rFonts w:ascii="Bookman Old Style" w:hAnsi="Bookman Old Style" w:cs="Calibri"/>
          <w:b/>
          <w:sz w:val="28"/>
          <w:szCs w:val="28"/>
        </w:rPr>
        <w:t>oration [1964]</w:t>
      </w:r>
      <w:r w:rsidRPr="00E61028">
        <w:rPr>
          <w:rFonts w:ascii="Bookman Old Style" w:hAnsi="Bookman Old Style" w:cs="Calibri"/>
          <w:b/>
          <w:sz w:val="28"/>
          <w:szCs w:val="28"/>
        </w:rPr>
        <w:t xml:space="preserve"> 3 All E.R. 833</w:t>
      </w:r>
      <w:r w:rsidRPr="00E61028">
        <w:rPr>
          <w:rFonts w:ascii="Bookman Old Style" w:hAnsi="Bookman Old Style" w:cs="Calibri"/>
          <w:sz w:val="28"/>
          <w:szCs w:val="28"/>
        </w:rPr>
        <w:t xml:space="preserve">. In the </w:t>
      </w:r>
      <w:r w:rsidRPr="00A90C8A">
        <w:rPr>
          <w:rFonts w:ascii="Bookman Old Style" w:hAnsi="Bookman Old Style" w:cs="Calibri"/>
          <w:b/>
          <w:sz w:val="28"/>
          <w:szCs w:val="28"/>
        </w:rPr>
        <w:t xml:space="preserve">Premchand </w:t>
      </w:r>
      <w:r w:rsidRPr="00A90C8A">
        <w:rPr>
          <w:rFonts w:ascii="Bookman Old Style" w:hAnsi="Bookman Old Style" w:cs="Calibri"/>
          <w:sz w:val="28"/>
          <w:szCs w:val="28"/>
        </w:rPr>
        <w:t>c</w:t>
      </w:r>
      <w:r w:rsidRPr="00E61028">
        <w:rPr>
          <w:rFonts w:ascii="Bookman Old Style" w:hAnsi="Bookman Old Style" w:cs="Calibri"/>
          <w:sz w:val="28"/>
          <w:szCs w:val="28"/>
        </w:rPr>
        <w:t xml:space="preserve">ase it was held that the correct approach in assessing a brief fee was to be found in the </w:t>
      </w:r>
      <w:r w:rsidRPr="00A90C8A">
        <w:rPr>
          <w:rFonts w:ascii="Bookman Old Style" w:hAnsi="Bookman Old Style" w:cs="Calibri"/>
          <w:b/>
          <w:sz w:val="28"/>
          <w:szCs w:val="28"/>
        </w:rPr>
        <w:t>Simpson Motor Sales</w:t>
      </w:r>
      <w:r w:rsidRPr="00E61028">
        <w:rPr>
          <w:rFonts w:ascii="Bookman Old Style" w:hAnsi="Bookman Old Style" w:cs="Calibri"/>
          <w:sz w:val="28"/>
          <w:szCs w:val="28"/>
        </w:rPr>
        <w:t xml:space="preserve"> case in which Pennycuick, J. ruled:</w:t>
      </w:r>
    </w:p>
    <w:p w:rsidR="00054C16" w:rsidRPr="00E61028" w:rsidRDefault="00054C16" w:rsidP="00370BDA">
      <w:pPr>
        <w:spacing w:line="480" w:lineRule="auto"/>
        <w:ind w:left="720"/>
        <w:jc w:val="both"/>
        <w:rPr>
          <w:rFonts w:ascii="Bookman Old Style" w:hAnsi="Bookman Old Style" w:cs="Calibri"/>
          <w:i/>
          <w:sz w:val="28"/>
          <w:szCs w:val="28"/>
        </w:rPr>
      </w:pPr>
      <w:r w:rsidRPr="00E61028">
        <w:rPr>
          <w:rFonts w:ascii="Bookman Old Style" w:hAnsi="Bookman Old Style" w:cs="Calibri"/>
          <w:i/>
          <w:sz w:val="28"/>
          <w:szCs w:val="28"/>
        </w:rPr>
        <w:lastRenderedPageBreak/>
        <w:t>“One must envisage a hypothetical counsel capable of conducting the peculiar case effectively but unable or unwilling to insist on the particularly high fee sometimes demanded by counsel of pre-eminent reputation. Then one must estimate what fee this hypothetical character would be content to take on the brief.”</w:t>
      </w:r>
    </w:p>
    <w:p w:rsidR="003A3B6E" w:rsidRPr="00E61028" w:rsidRDefault="00A90C8A" w:rsidP="00370BDA">
      <w:pPr>
        <w:spacing w:line="480" w:lineRule="auto"/>
        <w:jc w:val="both"/>
        <w:rPr>
          <w:rFonts w:ascii="Bookman Old Style" w:hAnsi="Bookman Old Style" w:cs="Calibri"/>
          <w:b/>
          <w:bCs/>
          <w:sz w:val="28"/>
          <w:szCs w:val="28"/>
        </w:rPr>
      </w:pPr>
      <w:r>
        <w:rPr>
          <w:rFonts w:ascii="Bookman Old Style" w:hAnsi="Bookman Old Style" w:cs="Calibri"/>
          <w:sz w:val="28"/>
          <w:szCs w:val="28"/>
        </w:rPr>
        <w:t>From this decision, it can be deduced that e</w:t>
      </w:r>
      <w:r w:rsidR="00054C16" w:rsidRPr="00E61028">
        <w:rPr>
          <w:rFonts w:ascii="Bookman Old Style" w:hAnsi="Bookman Old Style" w:cs="Calibri"/>
          <w:sz w:val="28"/>
          <w:szCs w:val="28"/>
        </w:rPr>
        <w:t>ach case has to be decided on its own merits and circumstances. For example, a lengthy or complicated case involving lengthy preparations and research will attract higher fees</w:t>
      </w:r>
      <w:r>
        <w:rPr>
          <w:rFonts w:ascii="Bookman Old Style" w:hAnsi="Bookman Old Style" w:cs="Calibri"/>
          <w:sz w:val="28"/>
          <w:szCs w:val="28"/>
        </w:rPr>
        <w:t xml:space="preserve"> and</w:t>
      </w:r>
      <w:r w:rsidR="00054C16" w:rsidRPr="00E61028">
        <w:rPr>
          <w:rFonts w:ascii="Bookman Old Style" w:hAnsi="Bookman Old Style" w:cs="Calibri"/>
          <w:sz w:val="28"/>
          <w:szCs w:val="28"/>
        </w:rPr>
        <w:t xml:space="preserve"> in a variable degree, the amount of the subject matter involved may have a bearing.</w:t>
      </w:r>
      <w:r>
        <w:rPr>
          <w:rFonts w:ascii="Bookman Old Style" w:hAnsi="Bookman Old Style" w:cs="Calibri"/>
          <w:sz w:val="28"/>
          <w:szCs w:val="28"/>
        </w:rPr>
        <w:t xml:space="preserve"> </w:t>
      </w:r>
      <w:r w:rsidRPr="00A90C8A">
        <w:rPr>
          <w:rFonts w:ascii="Bookman Old Style" w:hAnsi="Bookman Old Style" w:cs="Calibri"/>
          <w:b/>
          <w:sz w:val="28"/>
          <w:szCs w:val="28"/>
        </w:rPr>
        <w:t>See:</w:t>
      </w:r>
      <w:r>
        <w:rPr>
          <w:rFonts w:ascii="Bookman Old Style" w:hAnsi="Bookman Old Style" w:cs="Calibri"/>
          <w:sz w:val="28"/>
          <w:szCs w:val="28"/>
        </w:rPr>
        <w:t xml:space="preserve"> </w:t>
      </w:r>
      <w:r>
        <w:rPr>
          <w:rFonts w:ascii="Bookman Old Style" w:hAnsi="Bookman Old Style" w:cs="Calibri"/>
          <w:b/>
          <w:bCs/>
          <w:sz w:val="28"/>
          <w:szCs w:val="28"/>
        </w:rPr>
        <w:t>Patrick Makumbi &amp; Another versus</w:t>
      </w:r>
      <w:r w:rsidR="00054C16" w:rsidRPr="00E61028">
        <w:rPr>
          <w:rFonts w:ascii="Bookman Old Style" w:hAnsi="Bookman Old Style" w:cs="Calibri"/>
          <w:b/>
          <w:bCs/>
          <w:sz w:val="28"/>
          <w:szCs w:val="28"/>
        </w:rPr>
        <w:t xml:space="preserve"> Sole Electrics </w:t>
      </w:r>
      <w:r w:rsidR="00054C16" w:rsidRPr="00A90C8A">
        <w:rPr>
          <w:rFonts w:ascii="Bookman Old Style" w:hAnsi="Bookman Old Style" w:cs="Calibri"/>
          <w:bCs/>
          <w:sz w:val="28"/>
          <w:szCs w:val="28"/>
        </w:rPr>
        <w:t>(supra)</w:t>
      </w:r>
      <w:r w:rsidR="00786467">
        <w:rPr>
          <w:rFonts w:ascii="Bookman Old Style" w:hAnsi="Bookman Old Style" w:cs="Calibri"/>
          <w:bCs/>
          <w:sz w:val="28"/>
          <w:szCs w:val="28"/>
        </w:rPr>
        <w:t>.</w:t>
      </w:r>
    </w:p>
    <w:p w:rsidR="00786467" w:rsidRDefault="00786467" w:rsidP="00370BDA">
      <w:pPr>
        <w:spacing w:line="480" w:lineRule="auto"/>
        <w:jc w:val="both"/>
        <w:rPr>
          <w:rFonts w:ascii="Bookman Old Style" w:hAnsi="Bookman Old Style" w:cs="Calibri"/>
          <w:bCs/>
          <w:sz w:val="28"/>
          <w:szCs w:val="28"/>
        </w:rPr>
      </w:pPr>
      <w:r w:rsidRPr="00786467">
        <w:rPr>
          <w:rFonts w:ascii="Bookman Old Style" w:hAnsi="Bookman Old Style" w:cs="Calibri"/>
          <w:bCs/>
          <w:sz w:val="28"/>
          <w:szCs w:val="28"/>
        </w:rPr>
        <w:t>The</w:t>
      </w:r>
      <w:r>
        <w:rPr>
          <w:rFonts w:ascii="Bookman Old Style" w:hAnsi="Bookman Old Style" w:cs="Calibri"/>
          <w:bCs/>
          <w:sz w:val="28"/>
          <w:szCs w:val="28"/>
        </w:rPr>
        <w:t xml:space="preserve"> instant case of HC</w:t>
      </w:r>
      <w:r w:rsidR="00054C16" w:rsidRPr="00E61028">
        <w:rPr>
          <w:rFonts w:ascii="Bookman Old Style" w:hAnsi="Bookman Old Style" w:cs="Calibri"/>
          <w:bCs/>
          <w:sz w:val="28"/>
          <w:szCs w:val="28"/>
        </w:rPr>
        <w:t xml:space="preserve">CS </w:t>
      </w:r>
      <w:r>
        <w:rPr>
          <w:rFonts w:ascii="Bookman Old Style" w:hAnsi="Bookman Old Style" w:cs="Calibri"/>
          <w:bCs/>
          <w:sz w:val="28"/>
          <w:szCs w:val="28"/>
        </w:rPr>
        <w:t xml:space="preserve">No. 235 of </w:t>
      </w:r>
      <w:r w:rsidR="00054C16" w:rsidRPr="00E61028">
        <w:rPr>
          <w:rFonts w:ascii="Bookman Old Style" w:hAnsi="Bookman Old Style" w:cs="Calibri"/>
          <w:bCs/>
          <w:sz w:val="28"/>
          <w:szCs w:val="28"/>
        </w:rPr>
        <w:t>2005 was a matter which was filed on</w:t>
      </w:r>
      <w:r w:rsidR="005032C0" w:rsidRPr="00E61028">
        <w:rPr>
          <w:rFonts w:ascii="Bookman Old Style" w:hAnsi="Bookman Old Style" w:cs="Calibri"/>
          <w:bCs/>
          <w:sz w:val="28"/>
          <w:szCs w:val="28"/>
        </w:rPr>
        <w:t xml:space="preserve"> </w:t>
      </w:r>
      <w:r>
        <w:rPr>
          <w:rFonts w:ascii="Bookman Old Style" w:hAnsi="Bookman Old Style" w:cs="Calibri"/>
          <w:bCs/>
          <w:sz w:val="28"/>
          <w:szCs w:val="28"/>
        </w:rPr>
        <w:t xml:space="preserve">the </w:t>
      </w:r>
      <w:r w:rsidR="005032C0" w:rsidRPr="00E61028">
        <w:rPr>
          <w:rFonts w:ascii="Bookman Old Style" w:hAnsi="Bookman Old Style" w:cs="Calibri"/>
          <w:bCs/>
          <w:sz w:val="28"/>
          <w:szCs w:val="28"/>
        </w:rPr>
        <w:t>15</w:t>
      </w:r>
      <w:r w:rsidRPr="00786467">
        <w:rPr>
          <w:rFonts w:ascii="Bookman Old Style" w:hAnsi="Bookman Old Style" w:cs="Calibri"/>
          <w:bCs/>
          <w:sz w:val="28"/>
          <w:szCs w:val="28"/>
          <w:vertAlign w:val="superscript"/>
        </w:rPr>
        <w:t>th</w:t>
      </w:r>
      <w:r>
        <w:rPr>
          <w:rFonts w:ascii="Bookman Old Style" w:hAnsi="Bookman Old Style" w:cs="Calibri"/>
          <w:bCs/>
          <w:sz w:val="28"/>
          <w:szCs w:val="28"/>
        </w:rPr>
        <w:t xml:space="preserve"> day of September, 20</w:t>
      </w:r>
      <w:r w:rsidR="005032C0" w:rsidRPr="00E61028">
        <w:rPr>
          <w:rFonts w:ascii="Bookman Old Style" w:hAnsi="Bookman Old Style" w:cs="Calibri"/>
          <w:bCs/>
          <w:sz w:val="28"/>
          <w:szCs w:val="28"/>
        </w:rPr>
        <w:t xml:space="preserve">05 and was finally disposed of on </w:t>
      </w:r>
      <w:r>
        <w:rPr>
          <w:rFonts w:ascii="Bookman Old Style" w:hAnsi="Bookman Old Style" w:cs="Calibri"/>
          <w:bCs/>
          <w:sz w:val="28"/>
          <w:szCs w:val="28"/>
        </w:rPr>
        <w:t xml:space="preserve">the </w:t>
      </w:r>
      <w:r w:rsidR="005032C0" w:rsidRPr="00E61028">
        <w:rPr>
          <w:rFonts w:ascii="Bookman Old Style" w:hAnsi="Bookman Old Style" w:cs="Calibri"/>
          <w:bCs/>
          <w:sz w:val="28"/>
          <w:szCs w:val="28"/>
        </w:rPr>
        <w:t>8</w:t>
      </w:r>
      <w:r w:rsidRPr="00786467">
        <w:rPr>
          <w:rFonts w:ascii="Bookman Old Style" w:hAnsi="Bookman Old Style" w:cs="Calibri"/>
          <w:bCs/>
          <w:sz w:val="28"/>
          <w:szCs w:val="28"/>
          <w:vertAlign w:val="superscript"/>
        </w:rPr>
        <w:t>th</w:t>
      </w:r>
      <w:r>
        <w:rPr>
          <w:rFonts w:ascii="Bookman Old Style" w:hAnsi="Bookman Old Style" w:cs="Calibri"/>
          <w:bCs/>
          <w:sz w:val="28"/>
          <w:szCs w:val="28"/>
        </w:rPr>
        <w:t xml:space="preserve"> day of April, 20</w:t>
      </w:r>
      <w:r w:rsidR="005032C0" w:rsidRPr="00E61028">
        <w:rPr>
          <w:rFonts w:ascii="Bookman Old Style" w:hAnsi="Bookman Old Style" w:cs="Calibri"/>
          <w:bCs/>
          <w:sz w:val="28"/>
          <w:szCs w:val="28"/>
        </w:rPr>
        <w:t xml:space="preserve">13. </w:t>
      </w:r>
      <w:r>
        <w:rPr>
          <w:rFonts w:ascii="Bookman Old Style" w:hAnsi="Bookman Old Style" w:cs="Calibri"/>
          <w:bCs/>
          <w:sz w:val="28"/>
          <w:szCs w:val="28"/>
        </w:rPr>
        <w:t xml:space="preserve">This is a period of nearly eight years. </w:t>
      </w:r>
      <w:r w:rsidR="008F4D85">
        <w:rPr>
          <w:rFonts w:ascii="Bookman Old Style" w:hAnsi="Bookman Old Style" w:cs="Calibri"/>
          <w:bCs/>
          <w:sz w:val="28"/>
          <w:szCs w:val="28"/>
        </w:rPr>
        <w:t xml:space="preserve">This is clearly a considerably lengthy period </w:t>
      </w:r>
      <w:r>
        <w:rPr>
          <w:rFonts w:ascii="Bookman Old Style" w:hAnsi="Bookman Old Style" w:cs="Calibri"/>
          <w:bCs/>
          <w:sz w:val="28"/>
          <w:szCs w:val="28"/>
        </w:rPr>
        <w:t>I must presume involved lengthy preparations indicating that the advocate was involved in the suit well beyond preliminary levels</w:t>
      </w:r>
      <w:r w:rsidR="008F4D85">
        <w:rPr>
          <w:rFonts w:ascii="Bookman Old Style" w:hAnsi="Bookman Old Style" w:cs="Calibri"/>
          <w:bCs/>
          <w:sz w:val="28"/>
          <w:szCs w:val="28"/>
        </w:rPr>
        <w:t>, time which the taxing master must have taken into account.</w:t>
      </w:r>
    </w:p>
    <w:p w:rsidR="00850F4E" w:rsidRDefault="00850F4E" w:rsidP="00370BDA">
      <w:pPr>
        <w:spacing w:line="480" w:lineRule="auto"/>
        <w:jc w:val="both"/>
        <w:rPr>
          <w:rFonts w:ascii="Bookman Old Style" w:hAnsi="Bookman Old Style" w:cs="Calibri"/>
          <w:bCs/>
          <w:sz w:val="28"/>
          <w:szCs w:val="28"/>
        </w:rPr>
      </w:pPr>
      <w:r>
        <w:rPr>
          <w:rFonts w:ascii="Bookman Old Style" w:hAnsi="Bookman Old Style" w:cs="Calibri"/>
          <w:bCs/>
          <w:sz w:val="28"/>
          <w:szCs w:val="28"/>
        </w:rPr>
        <w:lastRenderedPageBreak/>
        <w:t xml:space="preserve">What is however </w:t>
      </w:r>
      <w:r w:rsidR="00786467">
        <w:rPr>
          <w:rFonts w:ascii="Bookman Old Style" w:hAnsi="Bookman Old Style" w:cs="Calibri"/>
          <w:bCs/>
          <w:sz w:val="28"/>
          <w:szCs w:val="28"/>
        </w:rPr>
        <w:t xml:space="preserve"> clear to me in this matter </w:t>
      </w:r>
      <w:r>
        <w:rPr>
          <w:rFonts w:ascii="Bookman Old Style" w:hAnsi="Bookman Old Style" w:cs="Calibri"/>
          <w:bCs/>
          <w:sz w:val="28"/>
          <w:szCs w:val="28"/>
        </w:rPr>
        <w:t xml:space="preserve">is </w:t>
      </w:r>
      <w:r w:rsidR="00786467">
        <w:rPr>
          <w:rFonts w:ascii="Bookman Old Style" w:hAnsi="Bookman Old Style" w:cs="Calibri"/>
          <w:bCs/>
          <w:sz w:val="28"/>
          <w:szCs w:val="28"/>
        </w:rPr>
        <w:t xml:space="preserve">that there is no dispute that counsel is entitled to instruction fees for carrying out the instructions given in the main suit. The </w:t>
      </w:r>
      <w:r>
        <w:rPr>
          <w:rFonts w:ascii="Bookman Old Style" w:hAnsi="Bookman Old Style" w:cs="Calibri"/>
          <w:bCs/>
          <w:sz w:val="28"/>
          <w:szCs w:val="28"/>
        </w:rPr>
        <w:t xml:space="preserve">main </w:t>
      </w:r>
      <w:r w:rsidR="00786467">
        <w:rPr>
          <w:rFonts w:ascii="Bookman Old Style" w:hAnsi="Bookman Old Style" w:cs="Calibri"/>
          <w:bCs/>
          <w:sz w:val="28"/>
          <w:szCs w:val="28"/>
        </w:rPr>
        <w:t xml:space="preserve">contention is </w:t>
      </w:r>
      <w:r>
        <w:rPr>
          <w:rFonts w:ascii="Bookman Old Style" w:hAnsi="Bookman Old Style" w:cs="Calibri"/>
          <w:bCs/>
          <w:sz w:val="28"/>
          <w:szCs w:val="28"/>
        </w:rPr>
        <w:t>to the amount. I note that the</w:t>
      </w:r>
      <w:r w:rsidR="005F7C49">
        <w:rPr>
          <w:rFonts w:ascii="Bookman Old Style" w:hAnsi="Bookman Old Style" w:cs="Calibri"/>
          <w:bCs/>
          <w:sz w:val="28"/>
          <w:szCs w:val="28"/>
        </w:rPr>
        <w:t xml:space="preserve"> ruling of the taxing master which gave rise to the current appeal clearly explain the value of the subject matter </w:t>
      </w:r>
      <w:r>
        <w:rPr>
          <w:rFonts w:ascii="Bookman Old Style" w:hAnsi="Bookman Old Style" w:cs="Calibri"/>
          <w:bCs/>
          <w:sz w:val="28"/>
          <w:szCs w:val="28"/>
        </w:rPr>
        <w:t>which it</w:t>
      </w:r>
      <w:r w:rsidR="005F7C49">
        <w:rPr>
          <w:rFonts w:ascii="Bookman Old Style" w:hAnsi="Bookman Old Style" w:cs="Calibri"/>
          <w:bCs/>
          <w:sz w:val="28"/>
          <w:szCs w:val="28"/>
        </w:rPr>
        <w:t xml:space="preserve"> ascertain</w:t>
      </w:r>
      <w:r>
        <w:rPr>
          <w:rFonts w:ascii="Bookman Old Style" w:hAnsi="Bookman Old Style" w:cs="Calibri"/>
          <w:bCs/>
          <w:sz w:val="28"/>
          <w:szCs w:val="28"/>
        </w:rPr>
        <w:t xml:space="preserve">ed. </w:t>
      </w:r>
      <w:r w:rsidR="005F7C49">
        <w:rPr>
          <w:rFonts w:ascii="Bookman Old Style" w:hAnsi="Bookman Old Style" w:cs="Calibri"/>
          <w:bCs/>
          <w:sz w:val="28"/>
          <w:szCs w:val="28"/>
        </w:rPr>
        <w:t xml:space="preserve"> </w:t>
      </w:r>
    </w:p>
    <w:p w:rsidR="00087AFC" w:rsidRDefault="005F7C49" w:rsidP="00370BDA">
      <w:pPr>
        <w:spacing w:line="480" w:lineRule="auto"/>
        <w:jc w:val="both"/>
        <w:rPr>
          <w:rFonts w:ascii="Bookman Old Style" w:hAnsi="Bookman Old Style" w:cs="Calibri"/>
          <w:bCs/>
          <w:sz w:val="28"/>
          <w:szCs w:val="28"/>
        </w:rPr>
      </w:pPr>
      <w:r>
        <w:rPr>
          <w:rFonts w:ascii="Bookman Old Style" w:hAnsi="Bookman Old Style" w:cs="Calibri"/>
          <w:bCs/>
          <w:sz w:val="28"/>
          <w:szCs w:val="28"/>
        </w:rPr>
        <w:t xml:space="preserve">What is of concern is the alleged excess in </w:t>
      </w:r>
      <w:r w:rsidR="00850F4E">
        <w:rPr>
          <w:rFonts w:ascii="Bookman Old Style" w:hAnsi="Bookman Old Style" w:cs="Calibri"/>
          <w:bCs/>
          <w:sz w:val="28"/>
          <w:szCs w:val="28"/>
        </w:rPr>
        <w:t xml:space="preserve">instruction </w:t>
      </w:r>
      <w:r>
        <w:rPr>
          <w:rFonts w:ascii="Bookman Old Style" w:hAnsi="Bookman Old Style" w:cs="Calibri"/>
          <w:bCs/>
          <w:sz w:val="28"/>
          <w:szCs w:val="28"/>
        </w:rPr>
        <w:t xml:space="preserve">fees. </w:t>
      </w:r>
      <w:r w:rsidR="00850F4E">
        <w:rPr>
          <w:rFonts w:ascii="Bookman Old Style" w:hAnsi="Bookman Old Style" w:cs="Calibri"/>
          <w:bCs/>
          <w:sz w:val="28"/>
          <w:szCs w:val="28"/>
        </w:rPr>
        <w:t xml:space="preserve">For the record, </w:t>
      </w:r>
      <w:r w:rsidR="005501EE" w:rsidRPr="005501EE">
        <w:rPr>
          <w:rFonts w:ascii="Bookman Old Style" w:hAnsi="Bookman Old Style" w:cs="Calibri"/>
          <w:b/>
          <w:bCs/>
          <w:sz w:val="28"/>
          <w:szCs w:val="28"/>
        </w:rPr>
        <w:t>Regulation 57 of the Advocates ( Remuneration and Taxation of Costs) Regulations S.I. 267-4</w:t>
      </w:r>
      <w:r w:rsidR="005501EE">
        <w:rPr>
          <w:rFonts w:ascii="Bookman Old Style" w:hAnsi="Bookman Old Style" w:cs="Calibri"/>
          <w:bCs/>
          <w:sz w:val="28"/>
          <w:szCs w:val="28"/>
        </w:rPr>
        <w:t xml:space="preserve"> provides that in all causes and matters in the </w:t>
      </w:r>
      <w:r w:rsidR="00850F4E">
        <w:rPr>
          <w:rFonts w:ascii="Bookman Old Style" w:hAnsi="Bookman Old Style" w:cs="Calibri"/>
          <w:bCs/>
          <w:sz w:val="28"/>
          <w:szCs w:val="28"/>
        </w:rPr>
        <w:t xml:space="preserve">High Court </w:t>
      </w:r>
      <w:r w:rsidR="005501EE">
        <w:rPr>
          <w:rFonts w:ascii="Bookman Old Style" w:hAnsi="Bookman Old Style" w:cs="Calibri"/>
          <w:bCs/>
          <w:sz w:val="28"/>
          <w:szCs w:val="28"/>
        </w:rPr>
        <w:t xml:space="preserve">and magistrates courts, an advocate shall be entitled to charge as against his client the fees prescribed by the Sixth Schedule of these regulations. That sixth </w:t>
      </w:r>
      <w:r w:rsidR="00850F4E">
        <w:rPr>
          <w:rFonts w:ascii="Bookman Old Style" w:hAnsi="Bookman Old Style" w:cs="Calibri"/>
          <w:bCs/>
          <w:sz w:val="28"/>
          <w:szCs w:val="28"/>
        </w:rPr>
        <w:t>schedule provides under I</w:t>
      </w:r>
      <w:r w:rsidR="005501EE">
        <w:rPr>
          <w:rFonts w:ascii="Bookman Old Style" w:hAnsi="Bookman Old Style" w:cs="Calibri"/>
          <w:bCs/>
          <w:sz w:val="28"/>
          <w:szCs w:val="28"/>
        </w:rPr>
        <w:t xml:space="preserve">tem 1(iv) for instruction fees payable in respect of suing where the value of the subject matter can be determined from the judgment. </w:t>
      </w:r>
      <w:r w:rsidR="00850F4E">
        <w:rPr>
          <w:rFonts w:ascii="Bookman Old Style" w:hAnsi="Bookman Old Style" w:cs="Calibri"/>
          <w:bCs/>
          <w:sz w:val="28"/>
          <w:szCs w:val="28"/>
        </w:rPr>
        <w:t xml:space="preserve">This regulation itemizes </w:t>
      </w:r>
      <w:r w:rsidR="005501EE">
        <w:rPr>
          <w:rFonts w:ascii="Bookman Old Style" w:hAnsi="Bookman Old Style" w:cs="Calibri"/>
          <w:bCs/>
          <w:sz w:val="28"/>
          <w:szCs w:val="28"/>
        </w:rPr>
        <w:t xml:space="preserve">what amount can be levied. </w:t>
      </w:r>
      <w:r w:rsidR="00850F4E">
        <w:rPr>
          <w:rFonts w:ascii="Bookman Old Style" w:hAnsi="Bookman Old Style" w:cs="Calibri"/>
          <w:bCs/>
          <w:sz w:val="28"/>
          <w:szCs w:val="28"/>
        </w:rPr>
        <w:t xml:space="preserve">This means that an instruction fees award has to be derived from the judgment if it is ascertainable. </w:t>
      </w:r>
      <w:r w:rsidR="005501EE">
        <w:rPr>
          <w:rFonts w:ascii="Bookman Old Style" w:hAnsi="Bookman Old Style" w:cs="Calibri"/>
          <w:bCs/>
          <w:sz w:val="28"/>
          <w:szCs w:val="28"/>
        </w:rPr>
        <w:t xml:space="preserve">In the instant matter, the subject matter value was already </w:t>
      </w:r>
      <w:r w:rsidR="00850F4E">
        <w:rPr>
          <w:rFonts w:ascii="Bookman Old Style" w:hAnsi="Bookman Old Style" w:cs="Calibri"/>
          <w:bCs/>
          <w:sz w:val="28"/>
          <w:szCs w:val="28"/>
        </w:rPr>
        <w:t>proven by court as being Shs. 30</w:t>
      </w:r>
      <w:r w:rsidR="005501EE">
        <w:rPr>
          <w:rFonts w:ascii="Bookman Old Style" w:hAnsi="Bookman Old Style" w:cs="Calibri"/>
          <w:bCs/>
          <w:sz w:val="28"/>
          <w:szCs w:val="28"/>
        </w:rPr>
        <w:t xml:space="preserve">, 000,000/=. I find it strange that the taxing </w:t>
      </w:r>
      <w:r w:rsidR="005501EE">
        <w:rPr>
          <w:rFonts w:ascii="Bookman Old Style" w:hAnsi="Bookman Old Style" w:cs="Calibri"/>
          <w:bCs/>
          <w:sz w:val="28"/>
          <w:szCs w:val="28"/>
        </w:rPr>
        <w:lastRenderedPageBreak/>
        <w:t xml:space="preserve">master had to reconsider the subject matter value a second time after agreeing </w:t>
      </w:r>
      <w:r w:rsidR="00087AFC">
        <w:rPr>
          <w:rFonts w:ascii="Bookman Old Style" w:hAnsi="Bookman Old Style" w:cs="Calibri"/>
          <w:bCs/>
          <w:sz w:val="28"/>
          <w:szCs w:val="28"/>
        </w:rPr>
        <w:t>that the instruction fees ought not to be pegged on the alleged value claimed on the plaint but rather on the one which was tested and proven</w:t>
      </w:r>
      <w:r w:rsidR="00850F4E">
        <w:rPr>
          <w:rFonts w:ascii="Bookman Old Style" w:hAnsi="Bookman Old Style" w:cs="Calibri"/>
          <w:bCs/>
          <w:sz w:val="28"/>
          <w:szCs w:val="28"/>
        </w:rPr>
        <w:t xml:space="preserve"> by court</w:t>
      </w:r>
      <w:r w:rsidR="00087AFC">
        <w:rPr>
          <w:rFonts w:ascii="Bookman Old Style" w:hAnsi="Bookman Old Style" w:cs="Calibri"/>
          <w:bCs/>
          <w:sz w:val="28"/>
          <w:szCs w:val="28"/>
        </w:rPr>
        <w:t>.</w:t>
      </w:r>
    </w:p>
    <w:p w:rsidR="00087AFC" w:rsidRDefault="00087AFC" w:rsidP="00370BDA">
      <w:pPr>
        <w:spacing w:line="480" w:lineRule="auto"/>
        <w:jc w:val="both"/>
        <w:rPr>
          <w:rFonts w:ascii="Bookman Old Style" w:hAnsi="Bookman Old Style" w:cs="Calibri"/>
          <w:bCs/>
          <w:sz w:val="28"/>
          <w:szCs w:val="28"/>
        </w:rPr>
      </w:pPr>
      <w:r>
        <w:rPr>
          <w:rFonts w:ascii="Bookman Old Style" w:hAnsi="Bookman Old Style" w:cs="Calibri"/>
          <w:bCs/>
          <w:sz w:val="28"/>
          <w:szCs w:val="28"/>
        </w:rPr>
        <w:t xml:space="preserve">I </w:t>
      </w:r>
      <w:r w:rsidR="00850F4E">
        <w:rPr>
          <w:rFonts w:ascii="Bookman Old Style" w:hAnsi="Bookman Old Style" w:cs="Calibri"/>
          <w:bCs/>
          <w:sz w:val="28"/>
          <w:szCs w:val="28"/>
        </w:rPr>
        <w:t xml:space="preserve">would therefore </w:t>
      </w:r>
      <w:r>
        <w:rPr>
          <w:rFonts w:ascii="Bookman Old Style" w:hAnsi="Bookman Old Style" w:cs="Calibri"/>
          <w:bCs/>
          <w:sz w:val="28"/>
          <w:szCs w:val="28"/>
        </w:rPr>
        <w:t xml:space="preserve">agree with </w:t>
      </w:r>
      <w:r w:rsidR="00850F4E">
        <w:rPr>
          <w:rFonts w:ascii="Bookman Old Style" w:hAnsi="Bookman Old Style" w:cs="Calibri"/>
          <w:bCs/>
          <w:sz w:val="28"/>
          <w:szCs w:val="28"/>
        </w:rPr>
        <w:t>the submission of the counsel for the Applicant e that the change of mind by the Learned Registrar was uncalled on the basis t</w:t>
      </w:r>
      <w:r>
        <w:rPr>
          <w:rFonts w:ascii="Bookman Old Style" w:hAnsi="Bookman Old Style" w:cs="Calibri"/>
          <w:bCs/>
          <w:sz w:val="28"/>
          <w:szCs w:val="28"/>
        </w:rPr>
        <w:t xml:space="preserve">hat were there to be any reason for other considerations other than the aggregate work necessary to complete the work and hence necessitating the payment of higher instructions fees, then there should have been </w:t>
      </w:r>
      <w:r w:rsidR="00850F4E">
        <w:rPr>
          <w:rFonts w:ascii="Bookman Old Style" w:hAnsi="Bookman Old Style" w:cs="Calibri"/>
          <w:bCs/>
          <w:sz w:val="28"/>
          <w:szCs w:val="28"/>
        </w:rPr>
        <w:t xml:space="preserve">a </w:t>
      </w:r>
      <w:r>
        <w:rPr>
          <w:rFonts w:ascii="Bookman Old Style" w:hAnsi="Bookman Old Style" w:cs="Calibri"/>
          <w:bCs/>
          <w:sz w:val="28"/>
          <w:szCs w:val="28"/>
        </w:rPr>
        <w:t xml:space="preserve">specific application for a certificate made in that </w:t>
      </w:r>
      <w:r w:rsidR="00850F4E">
        <w:rPr>
          <w:rFonts w:ascii="Bookman Old Style" w:hAnsi="Bookman Old Style" w:cs="Calibri"/>
          <w:bCs/>
          <w:sz w:val="28"/>
          <w:szCs w:val="28"/>
        </w:rPr>
        <w:t>direction</w:t>
      </w:r>
      <w:r>
        <w:rPr>
          <w:rFonts w:ascii="Bookman Old Style" w:hAnsi="Bookman Old Style" w:cs="Calibri"/>
          <w:bCs/>
          <w:sz w:val="28"/>
          <w:szCs w:val="28"/>
        </w:rPr>
        <w:t xml:space="preserve"> made to the court </w:t>
      </w:r>
      <w:r w:rsidR="00850F4E">
        <w:rPr>
          <w:rFonts w:ascii="Bookman Old Style" w:hAnsi="Bookman Old Style" w:cs="Calibri"/>
          <w:bCs/>
          <w:sz w:val="28"/>
          <w:szCs w:val="28"/>
        </w:rPr>
        <w:t>to allow a claim</w:t>
      </w:r>
      <w:r>
        <w:rPr>
          <w:rFonts w:ascii="Bookman Old Style" w:hAnsi="Bookman Old Style" w:cs="Calibri"/>
          <w:bCs/>
          <w:sz w:val="28"/>
          <w:szCs w:val="28"/>
        </w:rPr>
        <w:t xml:space="preserve"> for such higher </w:t>
      </w:r>
      <w:r w:rsidR="00850F4E">
        <w:rPr>
          <w:rFonts w:ascii="Bookman Old Style" w:hAnsi="Bookman Old Style" w:cs="Calibri"/>
          <w:bCs/>
          <w:sz w:val="28"/>
          <w:szCs w:val="28"/>
        </w:rPr>
        <w:t>fee</w:t>
      </w:r>
      <w:r>
        <w:rPr>
          <w:rFonts w:ascii="Bookman Old Style" w:hAnsi="Bookman Old Style" w:cs="Calibri"/>
          <w:bCs/>
          <w:sz w:val="28"/>
          <w:szCs w:val="28"/>
        </w:rPr>
        <w:t xml:space="preserve"> </w:t>
      </w:r>
      <w:r w:rsidR="00EE4894">
        <w:rPr>
          <w:rFonts w:ascii="Bookman Old Style" w:hAnsi="Bookman Old Style" w:cs="Calibri"/>
          <w:bCs/>
          <w:sz w:val="28"/>
          <w:szCs w:val="28"/>
        </w:rPr>
        <w:t>than what was legally provided</w:t>
      </w:r>
      <w:r>
        <w:rPr>
          <w:rFonts w:ascii="Bookman Old Style" w:hAnsi="Bookman Old Style" w:cs="Calibri"/>
          <w:bCs/>
          <w:sz w:val="28"/>
          <w:szCs w:val="28"/>
        </w:rPr>
        <w:t xml:space="preserve"> </w:t>
      </w:r>
      <w:r w:rsidR="00850F4E">
        <w:rPr>
          <w:rFonts w:ascii="Bookman Old Style" w:hAnsi="Bookman Old Style" w:cs="Calibri"/>
          <w:bCs/>
          <w:sz w:val="28"/>
          <w:szCs w:val="28"/>
        </w:rPr>
        <w:t xml:space="preserve">for with </w:t>
      </w:r>
      <w:r w:rsidR="00EE4894">
        <w:rPr>
          <w:rFonts w:ascii="Bookman Old Style" w:hAnsi="Bookman Old Style" w:cs="Calibri"/>
          <w:bCs/>
          <w:sz w:val="28"/>
          <w:szCs w:val="28"/>
        </w:rPr>
        <w:t>indicati</w:t>
      </w:r>
      <w:r w:rsidR="00850F4E">
        <w:rPr>
          <w:rFonts w:ascii="Bookman Old Style" w:hAnsi="Bookman Old Style" w:cs="Calibri"/>
          <w:bCs/>
          <w:sz w:val="28"/>
          <w:szCs w:val="28"/>
        </w:rPr>
        <w:t xml:space="preserve">on </w:t>
      </w:r>
      <w:r>
        <w:rPr>
          <w:rFonts w:ascii="Bookman Old Style" w:hAnsi="Bookman Old Style" w:cs="Calibri"/>
          <w:bCs/>
          <w:sz w:val="28"/>
          <w:szCs w:val="28"/>
        </w:rPr>
        <w:t xml:space="preserve">by what percentage such higher fees </w:t>
      </w:r>
      <w:r w:rsidR="00850F4E">
        <w:rPr>
          <w:rFonts w:ascii="Bookman Old Style" w:hAnsi="Bookman Old Style" w:cs="Calibri"/>
          <w:bCs/>
          <w:sz w:val="28"/>
          <w:szCs w:val="28"/>
        </w:rPr>
        <w:t xml:space="preserve">claimed was </w:t>
      </w:r>
      <w:r>
        <w:rPr>
          <w:rFonts w:ascii="Bookman Old Style" w:hAnsi="Bookman Old Style" w:cs="Calibri"/>
          <w:bCs/>
          <w:sz w:val="28"/>
          <w:szCs w:val="28"/>
        </w:rPr>
        <w:t xml:space="preserve">to be </w:t>
      </w:r>
      <w:r w:rsidR="00850F4E">
        <w:rPr>
          <w:rFonts w:ascii="Bookman Old Style" w:hAnsi="Bookman Old Style" w:cs="Calibri"/>
          <w:bCs/>
          <w:sz w:val="28"/>
          <w:szCs w:val="28"/>
        </w:rPr>
        <w:t>allowed</w:t>
      </w:r>
      <w:r>
        <w:rPr>
          <w:rFonts w:ascii="Bookman Old Style" w:hAnsi="Bookman Old Style" w:cs="Calibri"/>
          <w:bCs/>
          <w:sz w:val="28"/>
          <w:szCs w:val="28"/>
        </w:rPr>
        <w:t>.</w:t>
      </w:r>
      <w:r w:rsidR="00850F4E">
        <w:rPr>
          <w:rFonts w:ascii="Bookman Old Style" w:hAnsi="Bookman Old Style" w:cs="Calibri"/>
          <w:bCs/>
          <w:sz w:val="28"/>
          <w:szCs w:val="28"/>
        </w:rPr>
        <w:t xml:space="preserve"> This was not the case here</w:t>
      </w:r>
      <w:r w:rsidR="00370BDA">
        <w:rPr>
          <w:rFonts w:ascii="Bookman Old Style" w:hAnsi="Bookman Old Style" w:cs="Calibri"/>
          <w:bCs/>
          <w:sz w:val="28"/>
          <w:szCs w:val="28"/>
        </w:rPr>
        <w:t>, though with my findings indicating that there was no</w:t>
      </w:r>
      <w:r>
        <w:rPr>
          <w:rFonts w:ascii="Bookman Old Style" w:hAnsi="Bookman Old Style" w:cs="Calibri"/>
          <w:bCs/>
          <w:sz w:val="28"/>
          <w:szCs w:val="28"/>
        </w:rPr>
        <w:t xml:space="preserve"> justification for the </w:t>
      </w:r>
      <w:r w:rsidR="00370BDA">
        <w:rPr>
          <w:rFonts w:ascii="Bookman Old Style" w:hAnsi="Bookman Old Style" w:cs="Calibri"/>
          <w:bCs/>
          <w:sz w:val="28"/>
          <w:szCs w:val="28"/>
        </w:rPr>
        <w:t>Learned Registrar while giving</w:t>
      </w:r>
      <w:r>
        <w:rPr>
          <w:rFonts w:ascii="Bookman Old Style" w:hAnsi="Bookman Old Style" w:cs="Calibri"/>
          <w:bCs/>
          <w:sz w:val="28"/>
          <w:szCs w:val="28"/>
        </w:rPr>
        <w:t xml:space="preserve"> due consideration to the amount of work done to complete the case at the same time reconsider</w:t>
      </w:r>
      <w:r w:rsidR="00370BDA">
        <w:rPr>
          <w:rFonts w:ascii="Bookman Old Style" w:hAnsi="Bookman Old Style" w:cs="Calibri"/>
          <w:bCs/>
          <w:sz w:val="28"/>
          <w:szCs w:val="28"/>
        </w:rPr>
        <w:t xml:space="preserve">ed </w:t>
      </w:r>
      <w:r>
        <w:rPr>
          <w:rFonts w:ascii="Bookman Old Style" w:hAnsi="Bookman Old Style" w:cs="Calibri"/>
          <w:bCs/>
          <w:sz w:val="28"/>
          <w:szCs w:val="28"/>
        </w:rPr>
        <w:t>the subject matter value of the land</w:t>
      </w:r>
      <w:r w:rsidR="00370BDA">
        <w:rPr>
          <w:rFonts w:ascii="Bookman Old Style" w:hAnsi="Bookman Old Style" w:cs="Calibri"/>
          <w:bCs/>
          <w:sz w:val="28"/>
          <w:szCs w:val="28"/>
        </w:rPr>
        <w:t xml:space="preserve"> which was clearly given in the judgment of court</w:t>
      </w:r>
      <w:r>
        <w:rPr>
          <w:rFonts w:ascii="Bookman Old Style" w:hAnsi="Bookman Old Style" w:cs="Calibri"/>
          <w:bCs/>
          <w:sz w:val="28"/>
          <w:szCs w:val="28"/>
        </w:rPr>
        <w:t>.</w:t>
      </w:r>
    </w:p>
    <w:p w:rsidR="00370BDA" w:rsidRDefault="00370BDA" w:rsidP="00370BDA">
      <w:pPr>
        <w:spacing w:line="480" w:lineRule="auto"/>
        <w:jc w:val="both"/>
        <w:rPr>
          <w:rFonts w:ascii="Bookman Old Style" w:hAnsi="Bookman Old Style" w:cs="Calibri"/>
          <w:bCs/>
          <w:sz w:val="28"/>
          <w:szCs w:val="28"/>
        </w:rPr>
      </w:pPr>
      <w:r>
        <w:rPr>
          <w:rFonts w:ascii="Bookman Old Style" w:hAnsi="Bookman Old Style" w:cs="Calibri"/>
          <w:sz w:val="28"/>
          <w:szCs w:val="28"/>
        </w:rPr>
        <w:lastRenderedPageBreak/>
        <w:t xml:space="preserve">It is clear to me that the provisions of the law must be followed and in the case of </w:t>
      </w:r>
      <w:r w:rsidR="00786467" w:rsidRPr="00786467">
        <w:rPr>
          <w:rFonts w:ascii="Bookman Old Style" w:hAnsi="Bookman Old Style" w:cs="Calibri"/>
          <w:sz w:val="28"/>
          <w:szCs w:val="28"/>
        </w:rPr>
        <w:t xml:space="preserve">Instruction fees </w:t>
      </w:r>
      <w:r>
        <w:rPr>
          <w:rFonts w:ascii="Bookman Old Style" w:hAnsi="Bookman Old Style" w:cs="Calibri"/>
          <w:sz w:val="28"/>
          <w:szCs w:val="28"/>
        </w:rPr>
        <w:t xml:space="preserve">this </w:t>
      </w:r>
      <w:r w:rsidR="00786467">
        <w:rPr>
          <w:rFonts w:ascii="Bookman Old Style" w:hAnsi="Bookman Old Style" w:cs="Calibri"/>
          <w:sz w:val="28"/>
          <w:szCs w:val="28"/>
        </w:rPr>
        <w:t xml:space="preserve">ought to be </w:t>
      </w:r>
      <w:r w:rsidR="00786467" w:rsidRPr="00786467">
        <w:rPr>
          <w:rFonts w:ascii="Bookman Old Style" w:hAnsi="Bookman Old Style" w:cs="Calibri"/>
          <w:sz w:val="28"/>
          <w:szCs w:val="28"/>
        </w:rPr>
        <w:t xml:space="preserve">charged </w:t>
      </w:r>
      <w:r w:rsidR="00EE4894">
        <w:rPr>
          <w:rFonts w:ascii="Bookman Old Style" w:hAnsi="Bookman Old Style" w:cs="Calibri"/>
          <w:sz w:val="28"/>
          <w:szCs w:val="28"/>
        </w:rPr>
        <w:t>based on what the law provides</w:t>
      </w:r>
      <w:r>
        <w:rPr>
          <w:rFonts w:ascii="Bookman Old Style" w:hAnsi="Bookman Old Style" w:cs="Calibri"/>
          <w:sz w:val="28"/>
          <w:szCs w:val="28"/>
        </w:rPr>
        <w:t xml:space="preserve"> after the considering the c</w:t>
      </w:r>
      <w:r>
        <w:rPr>
          <w:rFonts w:ascii="Bookman Old Style" w:hAnsi="Bookman Old Style" w:cs="Calibri"/>
          <w:bCs/>
          <w:sz w:val="28"/>
          <w:szCs w:val="28"/>
        </w:rPr>
        <w:t>orrect finding by the learned Registrar that a claim on instruction fees ought not to be pegged on the alleged value claimed in the plaint but rather on the tested and proven value given in the judgment.</w:t>
      </w:r>
    </w:p>
    <w:p w:rsidR="00370BDA" w:rsidRDefault="00370BDA" w:rsidP="00370BDA">
      <w:pPr>
        <w:spacing w:line="480" w:lineRule="auto"/>
        <w:jc w:val="both"/>
        <w:rPr>
          <w:rFonts w:ascii="Bookman Old Style" w:hAnsi="Bookman Old Style" w:cs="Calibri"/>
          <w:bCs/>
          <w:sz w:val="28"/>
          <w:szCs w:val="28"/>
        </w:rPr>
      </w:pPr>
      <w:r>
        <w:rPr>
          <w:rFonts w:ascii="Bookman Old Style" w:hAnsi="Bookman Old Style" w:cs="Calibri"/>
          <w:bCs/>
          <w:sz w:val="28"/>
          <w:szCs w:val="28"/>
        </w:rPr>
        <w:t xml:space="preserve">On this basis, </w:t>
      </w:r>
      <w:r w:rsidR="00EE4894">
        <w:rPr>
          <w:rFonts w:ascii="Bookman Old Style" w:hAnsi="Bookman Old Style" w:cs="Calibri"/>
          <w:bCs/>
          <w:sz w:val="28"/>
          <w:szCs w:val="28"/>
        </w:rPr>
        <w:t xml:space="preserve">I would find that the award of Ug. Shs. 10,000,000/= as instruction fees </w:t>
      </w:r>
      <w:r w:rsidR="007C6557">
        <w:rPr>
          <w:rFonts w:ascii="Bookman Old Style" w:hAnsi="Bookman Old Style" w:cs="Calibri"/>
          <w:bCs/>
          <w:sz w:val="28"/>
          <w:szCs w:val="28"/>
        </w:rPr>
        <w:t>was not made in accordance with</w:t>
      </w:r>
      <w:r>
        <w:rPr>
          <w:rFonts w:ascii="Bookman Old Style" w:hAnsi="Bookman Old Style" w:cs="Calibri"/>
          <w:bCs/>
          <w:sz w:val="28"/>
          <w:szCs w:val="28"/>
        </w:rPr>
        <w:t xml:space="preserve"> </w:t>
      </w:r>
      <w:r w:rsidR="00EE4894">
        <w:rPr>
          <w:rFonts w:ascii="Bookman Old Style" w:hAnsi="Bookman Old Style" w:cs="Calibri"/>
          <w:bCs/>
          <w:sz w:val="28"/>
          <w:szCs w:val="28"/>
        </w:rPr>
        <w:t xml:space="preserve">clear </w:t>
      </w:r>
      <w:r w:rsidR="007C6557">
        <w:rPr>
          <w:rFonts w:ascii="Bookman Old Style" w:hAnsi="Bookman Old Style" w:cs="Calibri"/>
          <w:bCs/>
          <w:sz w:val="28"/>
          <w:szCs w:val="28"/>
        </w:rPr>
        <w:t>findings of the court and hence outside the provisions of the law under which it is provided for.</w:t>
      </w:r>
    </w:p>
    <w:p w:rsidR="007C6557" w:rsidRPr="007C6557" w:rsidRDefault="007C6557" w:rsidP="00370BDA">
      <w:pPr>
        <w:spacing w:line="480" w:lineRule="auto"/>
        <w:jc w:val="both"/>
        <w:rPr>
          <w:rFonts w:ascii="Bookman Old Style" w:hAnsi="Bookman Old Style" w:cs="Calibri"/>
          <w:b/>
          <w:bCs/>
          <w:sz w:val="28"/>
          <w:szCs w:val="28"/>
        </w:rPr>
      </w:pPr>
      <w:r w:rsidRPr="007C6557">
        <w:rPr>
          <w:rFonts w:ascii="Bookman Old Style" w:hAnsi="Bookman Old Style" w:cs="Calibri"/>
          <w:b/>
          <w:bCs/>
          <w:sz w:val="28"/>
          <w:szCs w:val="28"/>
        </w:rPr>
        <w:t>Orders:</w:t>
      </w:r>
    </w:p>
    <w:p w:rsidR="00544268" w:rsidRDefault="007C6557" w:rsidP="00370BDA">
      <w:pPr>
        <w:spacing w:line="480" w:lineRule="auto"/>
        <w:jc w:val="both"/>
        <w:rPr>
          <w:rFonts w:ascii="Bookman Old Style" w:hAnsi="Bookman Old Style" w:cs="Calibri"/>
          <w:bCs/>
          <w:sz w:val="28"/>
          <w:szCs w:val="28"/>
        </w:rPr>
      </w:pPr>
      <w:r>
        <w:rPr>
          <w:rFonts w:ascii="Bookman Old Style" w:hAnsi="Bookman Old Style" w:cs="Calibri"/>
          <w:bCs/>
          <w:sz w:val="28"/>
          <w:szCs w:val="28"/>
        </w:rPr>
        <w:t xml:space="preserve">This application is allowed in part in that </w:t>
      </w:r>
      <w:r w:rsidR="00370BDA">
        <w:rPr>
          <w:rFonts w:ascii="Bookman Old Style" w:hAnsi="Bookman Old Style" w:cs="Calibri"/>
          <w:bCs/>
          <w:sz w:val="28"/>
          <w:szCs w:val="28"/>
        </w:rPr>
        <w:t xml:space="preserve">I </w:t>
      </w:r>
      <w:r w:rsidR="008F4D85">
        <w:rPr>
          <w:rFonts w:ascii="Bookman Old Style" w:hAnsi="Bookman Old Style" w:cs="Calibri"/>
          <w:bCs/>
          <w:sz w:val="28"/>
          <w:szCs w:val="28"/>
        </w:rPr>
        <w:t xml:space="preserve">set it aside </w:t>
      </w:r>
      <w:r>
        <w:rPr>
          <w:rFonts w:ascii="Bookman Old Style" w:hAnsi="Bookman Old Style" w:cs="Calibri"/>
          <w:bCs/>
          <w:sz w:val="28"/>
          <w:szCs w:val="28"/>
        </w:rPr>
        <w:t xml:space="preserve">the decision of the </w:t>
      </w:r>
      <w:r w:rsidR="00EE4894">
        <w:rPr>
          <w:rFonts w:ascii="Bookman Old Style" w:hAnsi="Bookman Old Style" w:cs="Calibri"/>
          <w:bCs/>
          <w:sz w:val="28"/>
          <w:szCs w:val="28"/>
        </w:rPr>
        <w:t xml:space="preserve">taxing master </w:t>
      </w:r>
      <w:r>
        <w:rPr>
          <w:rFonts w:ascii="Bookman Old Style" w:hAnsi="Bookman Old Style" w:cs="Calibri"/>
          <w:bCs/>
          <w:sz w:val="28"/>
          <w:szCs w:val="28"/>
        </w:rPr>
        <w:t xml:space="preserve">in regards to the Instructions fees and refer the issue back to the said taxing master </w:t>
      </w:r>
      <w:r w:rsidR="008F4D85">
        <w:rPr>
          <w:rFonts w:ascii="Bookman Old Style" w:hAnsi="Bookman Old Style" w:cs="Calibri"/>
          <w:bCs/>
          <w:sz w:val="28"/>
          <w:szCs w:val="28"/>
        </w:rPr>
        <w:t xml:space="preserve">to </w:t>
      </w:r>
      <w:r w:rsidR="00370BDA">
        <w:rPr>
          <w:rFonts w:ascii="Bookman Old Style" w:hAnsi="Bookman Old Style" w:cs="Calibri"/>
          <w:bCs/>
          <w:sz w:val="28"/>
          <w:szCs w:val="28"/>
        </w:rPr>
        <w:t>take into account</w:t>
      </w:r>
      <w:r w:rsidR="00544268">
        <w:rPr>
          <w:rFonts w:ascii="Bookman Old Style" w:hAnsi="Bookman Old Style" w:cs="Calibri"/>
          <w:bCs/>
          <w:sz w:val="28"/>
          <w:szCs w:val="28"/>
        </w:rPr>
        <w:t xml:space="preserve"> the scale provided for under </w:t>
      </w:r>
      <w:r w:rsidR="008F4D85">
        <w:rPr>
          <w:rFonts w:ascii="Bookman Old Style" w:hAnsi="Bookman Old Style" w:cs="Calibri"/>
          <w:b/>
          <w:bCs/>
          <w:sz w:val="28"/>
          <w:szCs w:val="28"/>
        </w:rPr>
        <w:t xml:space="preserve">Item </w:t>
      </w:r>
      <w:r w:rsidR="00544268" w:rsidRPr="00544268">
        <w:rPr>
          <w:rFonts w:ascii="Bookman Old Style" w:hAnsi="Bookman Old Style" w:cs="Calibri"/>
          <w:b/>
          <w:bCs/>
          <w:sz w:val="28"/>
          <w:szCs w:val="28"/>
        </w:rPr>
        <w:t>1</w:t>
      </w:r>
      <w:r w:rsidR="008F4D85">
        <w:rPr>
          <w:rFonts w:ascii="Bookman Old Style" w:hAnsi="Bookman Old Style" w:cs="Calibri"/>
          <w:b/>
          <w:bCs/>
          <w:sz w:val="28"/>
          <w:szCs w:val="28"/>
        </w:rPr>
        <w:t xml:space="preserve"> </w:t>
      </w:r>
      <w:r w:rsidR="00544268" w:rsidRPr="00544268">
        <w:rPr>
          <w:rFonts w:ascii="Bookman Old Style" w:hAnsi="Bookman Old Style" w:cs="Calibri"/>
          <w:b/>
          <w:bCs/>
          <w:sz w:val="28"/>
          <w:szCs w:val="28"/>
        </w:rPr>
        <w:t>(iv) of the Sixth Schedule of the Advocates (Remuneration and Taxation of Costs)</w:t>
      </w:r>
      <w:r w:rsidR="00544268">
        <w:rPr>
          <w:rFonts w:ascii="Bookman Old Style" w:hAnsi="Bookman Old Style" w:cs="Calibri"/>
          <w:bCs/>
          <w:sz w:val="28"/>
          <w:szCs w:val="28"/>
        </w:rPr>
        <w:t xml:space="preserve"> </w:t>
      </w:r>
      <w:r w:rsidR="00370BDA">
        <w:rPr>
          <w:rFonts w:ascii="Bookman Old Style" w:hAnsi="Bookman Old Style" w:cs="Calibri"/>
          <w:bCs/>
          <w:sz w:val="28"/>
          <w:szCs w:val="28"/>
        </w:rPr>
        <w:t xml:space="preserve">since </w:t>
      </w:r>
      <w:r w:rsidR="00544268">
        <w:rPr>
          <w:rFonts w:ascii="Bookman Old Style" w:hAnsi="Bookman Old Style" w:cs="Calibri"/>
          <w:bCs/>
          <w:sz w:val="28"/>
          <w:szCs w:val="28"/>
        </w:rPr>
        <w:t>the value of the subject matte</w:t>
      </w:r>
      <w:r w:rsidR="00370BDA">
        <w:rPr>
          <w:rFonts w:ascii="Bookman Old Style" w:hAnsi="Bookman Old Style" w:cs="Calibri"/>
          <w:bCs/>
          <w:sz w:val="28"/>
          <w:szCs w:val="28"/>
        </w:rPr>
        <w:t>r was clearly established by the</w:t>
      </w:r>
      <w:r w:rsidR="00544268">
        <w:rPr>
          <w:rFonts w:ascii="Bookman Old Style" w:hAnsi="Bookman Old Style" w:cs="Calibri"/>
          <w:bCs/>
          <w:sz w:val="28"/>
          <w:szCs w:val="28"/>
        </w:rPr>
        <w:t xml:space="preserve"> court in its judgment</w:t>
      </w:r>
      <w:r w:rsidR="008F4D85">
        <w:rPr>
          <w:rFonts w:ascii="Bookman Old Style" w:hAnsi="Bookman Old Style" w:cs="Calibri"/>
          <w:bCs/>
          <w:sz w:val="28"/>
          <w:szCs w:val="28"/>
        </w:rPr>
        <w:t xml:space="preserve"> of the 8</w:t>
      </w:r>
      <w:r w:rsidR="008F4D85" w:rsidRPr="008F4D85">
        <w:rPr>
          <w:rFonts w:ascii="Bookman Old Style" w:hAnsi="Bookman Old Style" w:cs="Calibri"/>
          <w:bCs/>
          <w:sz w:val="28"/>
          <w:szCs w:val="28"/>
          <w:vertAlign w:val="superscript"/>
        </w:rPr>
        <w:t>th</w:t>
      </w:r>
      <w:r w:rsidR="008F4D85">
        <w:rPr>
          <w:rFonts w:ascii="Bookman Old Style" w:hAnsi="Bookman Old Style" w:cs="Calibri"/>
          <w:bCs/>
          <w:sz w:val="28"/>
          <w:szCs w:val="28"/>
        </w:rPr>
        <w:t xml:space="preserve"> day of April, 2013, especially at its pages 2, thereof</w:t>
      </w:r>
      <w:r w:rsidR="00544268">
        <w:rPr>
          <w:rFonts w:ascii="Bookman Old Style" w:hAnsi="Bookman Old Style" w:cs="Calibri"/>
          <w:bCs/>
          <w:sz w:val="28"/>
          <w:szCs w:val="28"/>
        </w:rPr>
        <w:t>.</w:t>
      </w:r>
    </w:p>
    <w:p w:rsidR="007C6557" w:rsidRDefault="00544268" w:rsidP="00370BDA">
      <w:pPr>
        <w:spacing w:line="480" w:lineRule="auto"/>
        <w:jc w:val="both"/>
        <w:rPr>
          <w:rFonts w:ascii="Bookman Old Style" w:hAnsi="Bookman Old Style" w:cs="Calibri"/>
          <w:bCs/>
          <w:sz w:val="28"/>
          <w:szCs w:val="28"/>
        </w:rPr>
      </w:pPr>
      <w:r>
        <w:rPr>
          <w:rFonts w:ascii="Bookman Old Style" w:hAnsi="Bookman Old Style" w:cs="Calibri"/>
          <w:bCs/>
          <w:sz w:val="28"/>
          <w:szCs w:val="28"/>
        </w:rPr>
        <w:lastRenderedPageBreak/>
        <w:t>The</w:t>
      </w:r>
      <w:r w:rsidR="005F7C49">
        <w:rPr>
          <w:rFonts w:ascii="Bookman Old Style" w:hAnsi="Bookman Old Style" w:cs="Calibri"/>
          <w:bCs/>
          <w:sz w:val="28"/>
          <w:szCs w:val="28"/>
        </w:rPr>
        <w:t xml:space="preserve"> </w:t>
      </w:r>
      <w:r w:rsidR="005032C0" w:rsidRPr="00E61028">
        <w:rPr>
          <w:rFonts w:ascii="Bookman Old Style" w:hAnsi="Bookman Old Style" w:cs="Calibri"/>
          <w:bCs/>
          <w:sz w:val="28"/>
          <w:szCs w:val="28"/>
        </w:rPr>
        <w:t>Costs of the App</w:t>
      </w:r>
      <w:r w:rsidR="007C6557">
        <w:rPr>
          <w:rFonts w:ascii="Bookman Old Style" w:hAnsi="Bookman Old Style" w:cs="Calibri"/>
          <w:bCs/>
          <w:sz w:val="28"/>
          <w:szCs w:val="28"/>
        </w:rPr>
        <w:t>lication is awarded to the Applicant.</w:t>
      </w:r>
    </w:p>
    <w:p w:rsidR="008F4D85" w:rsidRDefault="008F4D85" w:rsidP="00370BDA">
      <w:pPr>
        <w:spacing w:line="480" w:lineRule="auto"/>
        <w:jc w:val="both"/>
        <w:rPr>
          <w:rFonts w:ascii="Bookman Old Style" w:hAnsi="Bookman Old Style" w:cs="Calibri"/>
          <w:bCs/>
          <w:sz w:val="28"/>
          <w:szCs w:val="28"/>
        </w:rPr>
      </w:pPr>
      <w:r>
        <w:rPr>
          <w:rFonts w:ascii="Bookman Old Style" w:hAnsi="Bookman Old Style" w:cs="Calibri"/>
          <w:bCs/>
          <w:sz w:val="28"/>
          <w:szCs w:val="28"/>
        </w:rPr>
        <w:t>I do so order accordingly.</w:t>
      </w:r>
    </w:p>
    <w:p w:rsidR="008F4D85" w:rsidRDefault="008F4D85" w:rsidP="00370BDA">
      <w:pPr>
        <w:spacing w:line="480" w:lineRule="auto"/>
        <w:jc w:val="both"/>
        <w:rPr>
          <w:rFonts w:ascii="Bookman Old Style" w:hAnsi="Bookman Old Style" w:cs="Calibri"/>
          <w:bCs/>
          <w:sz w:val="28"/>
          <w:szCs w:val="28"/>
        </w:rPr>
      </w:pPr>
    </w:p>
    <w:p w:rsidR="008F4D85" w:rsidRDefault="008F4D85" w:rsidP="00370BDA">
      <w:pPr>
        <w:spacing w:line="480" w:lineRule="auto"/>
        <w:jc w:val="both"/>
        <w:rPr>
          <w:rFonts w:ascii="Bookman Old Style" w:hAnsi="Bookman Old Style" w:cs="Calibri"/>
          <w:bCs/>
          <w:sz w:val="28"/>
          <w:szCs w:val="28"/>
        </w:rPr>
      </w:pPr>
    </w:p>
    <w:p w:rsidR="008F4D85" w:rsidRPr="008F4D85" w:rsidRDefault="008F4D85" w:rsidP="00370BDA">
      <w:pPr>
        <w:spacing w:line="480" w:lineRule="auto"/>
        <w:jc w:val="center"/>
        <w:rPr>
          <w:rFonts w:ascii="Bookman Old Style" w:hAnsi="Bookman Old Style" w:cs="Calibri"/>
          <w:b/>
          <w:bCs/>
          <w:sz w:val="28"/>
          <w:szCs w:val="28"/>
        </w:rPr>
      </w:pPr>
      <w:r w:rsidRPr="008F4D85">
        <w:rPr>
          <w:rFonts w:ascii="Bookman Old Style" w:hAnsi="Bookman Old Style" w:cs="Calibri"/>
          <w:b/>
          <w:bCs/>
          <w:sz w:val="28"/>
          <w:szCs w:val="28"/>
        </w:rPr>
        <w:t>Henry Peter Adonyo</w:t>
      </w:r>
    </w:p>
    <w:p w:rsidR="008F4D85" w:rsidRPr="008F4D85" w:rsidRDefault="008F4D85" w:rsidP="00370BDA">
      <w:pPr>
        <w:spacing w:line="480" w:lineRule="auto"/>
        <w:jc w:val="center"/>
        <w:rPr>
          <w:rFonts w:ascii="Bookman Old Style" w:hAnsi="Bookman Old Style" w:cs="Calibri"/>
          <w:b/>
          <w:bCs/>
          <w:sz w:val="28"/>
          <w:szCs w:val="28"/>
        </w:rPr>
      </w:pPr>
      <w:r w:rsidRPr="008F4D85">
        <w:rPr>
          <w:rFonts w:ascii="Bookman Old Style" w:hAnsi="Bookman Old Style" w:cs="Calibri"/>
          <w:b/>
          <w:bCs/>
          <w:sz w:val="28"/>
          <w:szCs w:val="28"/>
        </w:rPr>
        <w:t>Judge</w:t>
      </w:r>
    </w:p>
    <w:p w:rsidR="008F4D85" w:rsidRPr="008F4D85" w:rsidRDefault="008F4D85" w:rsidP="00370BDA">
      <w:pPr>
        <w:spacing w:line="480" w:lineRule="auto"/>
        <w:jc w:val="center"/>
        <w:rPr>
          <w:rFonts w:ascii="Bookman Old Style" w:hAnsi="Bookman Old Style" w:cs="Calibri"/>
          <w:b/>
          <w:bCs/>
          <w:sz w:val="28"/>
          <w:szCs w:val="28"/>
        </w:rPr>
      </w:pPr>
      <w:r w:rsidRPr="008F4D85">
        <w:rPr>
          <w:rFonts w:ascii="Bookman Old Style" w:hAnsi="Bookman Old Style" w:cs="Calibri"/>
          <w:b/>
          <w:bCs/>
          <w:sz w:val="28"/>
          <w:szCs w:val="28"/>
        </w:rPr>
        <w:t>30</w:t>
      </w:r>
      <w:r w:rsidRPr="008F4D85">
        <w:rPr>
          <w:rFonts w:ascii="Bookman Old Style" w:hAnsi="Bookman Old Style" w:cs="Calibri"/>
          <w:b/>
          <w:bCs/>
          <w:sz w:val="28"/>
          <w:szCs w:val="28"/>
          <w:vertAlign w:val="superscript"/>
        </w:rPr>
        <w:t>th</w:t>
      </w:r>
      <w:r w:rsidRPr="008F4D85">
        <w:rPr>
          <w:rFonts w:ascii="Bookman Old Style" w:hAnsi="Bookman Old Style" w:cs="Calibri"/>
          <w:b/>
          <w:bCs/>
          <w:sz w:val="28"/>
          <w:szCs w:val="28"/>
        </w:rPr>
        <w:t xml:space="preserve"> October, 2014</w:t>
      </w:r>
    </w:p>
    <w:p w:rsidR="006B7B9D" w:rsidRDefault="006B7B9D" w:rsidP="00370BDA">
      <w:pPr>
        <w:spacing w:line="480" w:lineRule="auto"/>
        <w:jc w:val="both"/>
        <w:rPr>
          <w:rFonts w:cs="Calibri"/>
          <w:sz w:val="24"/>
          <w:szCs w:val="24"/>
        </w:rPr>
      </w:pPr>
    </w:p>
    <w:p w:rsidR="006B7B9D" w:rsidRDefault="006B7B9D" w:rsidP="00EE26FA">
      <w:pPr>
        <w:spacing w:line="360" w:lineRule="auto"/>
        <w:jc w:val="both"/>
        <w:rPr>
          <w:rFonts w:cs="Calibri"/>
          <w:sz w:val="24"/>
          <w:szCs w:val="24"/>
        </w:rPr>
      </w:pPr>
    </w:p>
    <w:p w:rsidR="006B7B9D" w:rsidRDefault="006B7B9D" w:rsidP="00EE26FA">
      <w:pPr>
        <w:spacing w:line="360" w:lineRule="auto"/>
        <w:jc w:val="both"/>
        <w:rPr>
          <w:rFonts w:cs="Calibri"/>
          <w:sz w:val="24"/>
          <w:szCs w:val="24"/>
        </w:rPr>
      </w:pPr>
    </w:p>
    <w:p w:rsidR="003A3B6E" w:rsidRDefault="003A3B6E" w:rsidP="00EE26FA">
      <w:pPr>
        <w:spacing w:line="360" w:lineRule="auto"/>
        <w:jc w:val="both"/>
        <w:rPr>
          <w:rFonts w:cs="Calibri"/>
          <w:sz w:val="24"/>
          <w:szCs w:val="24"/>
        </w:rPr>
      </w:pPr>
    </w:p>
    <w:p w:rsidR="003A3B6E" w:rsidRDefault="003A3B6E" w:rsidP="00EE26FA">
      <w:pPr>
        <w:spacing w:line="360" w:lineRule="auto"/>
        <w:jc w:val="both"/>
        <w:rPr>
          <w:rFonts w:cs="Calibri"/>
          <w:sz w:val="24"/>
          <w:szCs w:val="24"/>
        </w:rPr>
      </w:pPr>
    </w:p>
    <w:p w:rsidR="00DE1389" w:rsidRPr="00570EA0" w:rsidRDefault="00DE1389" w:rsidP="00EE26FA">
      <w:pPr>
        <w:spacing w:line="360" w:lineRule="auto"/>
        <w:jc w:val="both"/>
        <w:rPr>
          <w:sz w:val="24"/>
          <w:szCs w:val="24"/>
        </w:rPr>
      </w:pPr>
    </w:p>
    <w:sectPr w:rsidR="00DE1389" w:rsidRPr="00570EA0" w:rsidSect="005050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02" w:rsidRDefault="00D14902" w:rsidP="00155153">
      <w:pPr>
        <w:spacing w:after="0" w:line="240" w:lineRule="auto"/>
      </w:pPr>
      <w:r>
        <w:separator/>
      </w:r>
    </w:p>
  </w:endnote>
  <w:endnote w:type="continuationSeparator" w:id="0">
    <w:p w:rsidR="00D14902" w:rsidRDefault="00D14902" w:rsidP="0015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CA" w:rsidRDefault="00EF4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2964"/>
      <w:docPartObj>
        <w:docPartGallery w:val="Page Numbers (Bottom of Page)"/>
        <w:docPartUnique/>
      </w:docPartObj>
    </w:sdtPr>
    <w:sdtEndPr/>
    <w:sdtContent>
      <w:p w:rsidR="00EF4ACA" w:rsidRDefault="00EF4ACA">
        <w:pPr>
          <w:pStyle w:val="Footer"/>
        </w:pPr>
        <w:r w:rsidRPr="00EF4ACA">
          <w:rPr>
            <w:i/>
          </w:rPr>
          <w:fldChar w:fldCharType="begin"/>
        </w:r>
        <w:r w:rsidRPr="00EF4ACA">
          <w:rPr>
            <w:i/>
          </w:rPr>
          <w:instrText xml:space="preserve"> PAGE   \* MERGEFORMAT </w:instrText>
        </w:r>
        <w:r w:rsidRPr="00EF4ACA">
          <w:rPr>
            <w:i/>
          </w:rPr>
          <w:fldChar w:fldCharType="separate"/>
        </w:r>
        <w:r w:rsidR="004314AE">
          <w:rPr>
            <w:i/>
            <w:noProof/>
          </w:rPr>
          <w:t>1</w:t>
        </w:r>
        <w:r w:rsidRPr="00EF4ACA">
          <w:rPr>
            <w:i/>
          </w:rPr>
          <w:fldChar w:fldCharType="end"/>
        </w:r>
        <w:r w:rsidRPr="00EF4ACA">
          <w:rPr>
            <w:i/>
          </w:rPr>
          <w:t>: per Hon. Justice</w:t>
        </w:r>
        <w:r>
          <w:t xml:space="preserve"> </w:t>
        </w:r>
        <w:r w:rsidRPr="00EF4ACA">
          <w:rPr>
            <w:i/>
          </w:rPr>
          <w:t>Henry Peter Adonyo: Taxation Appeal: October 2014</w:t>
        </w:r>
      </w:p>
    </w:sdtContent>
  </w:sdt>
  <w:p w:rsidR="00271662" w:rsidRDefault="002716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CA" w:rsidRDefault="00EF4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02" w:rsidRDefault="00D14902" w:rsidP="00155153">
      <w:pPr>
        <w:spacing w:after="0" w:line="240" w:lineRule="auto"/>
      </w:pPr>
      <w:r>
        <w:separator/>
      </w:r>
    </w:p>
  </w:footnote>
  <w:footnote w:type="continuationSeparator" w:id="0">
    <w:p w:rsidR="00D14902" w:rsidRDefault="00D14902" w:rsidP="00155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CA" w:rsidRDefault="00EF4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CA" w:rsidRDefault="00EF4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CA" w:rsidRDefault="00EF4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D6263"/>
    <w:multiLevelType w:val="hybridMultilevel"/>
    <w:tmpl w:val="C0E2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38"/>
    <w:rsid w:val="00021E44"/>
    <w:rsid w:val="00054C16"/>
    <w:rsid w:val="00087AFC"/>
    <w:rsid w:val="00101C6B"/>
    <w:rsid w:val="00155153"/>
    <w:rsid w:val="001F0F6D"/>
    <w:rsid w:val="001F20F6"/>
    <w:rsid w:val="00262216"/>
    <w:rsid w:val="00271662"/>
    <w:rsid w:val="00370BDA"/>
    <w:rsid w:val="003740D2"/>
    <w:rsid w:val="003A3B6E"/>
    <w:rsid w:val="003C3542"/>
    <w:rsid w:val="003C44BA"/>
    <w:rsid w:val="004314AE"/>
    <w:rsid w:val="005032C0"/>
    <w:rsid w:val="00505039"/>
    <w:rsid w:val="00544268"/>
    <w:rsid w:val="005501EE"/>
    <w:rsid w:val="00570EA0"/>
    <w:rsid w:val="005B2B7C"/>
    <w:rsid w:val="005C724D"/>
    <w:rsid w:val="005F7C49"/>
    <w:rsid w:val="00645029"/>
    <w:rsid w:val="006B7B9D"/>
    <w:rsid w:val="0078220B"/>
    <w:rsid w:val="00786467"/>
    <w:rsid w:val="007B14BA"/>
    <w:rsid w:val="007C43E5"/>
    <w:rsid w:val="007C6557"/>
    <w:rsid w:val="00850F4E"/>
    <w:rsid w:val="008E565C"/>
    <w:rsid w:val="008F4D85"/>
    <w:rsid w:val="008F7A61"/>
    <w:rsid w:val="00942EE4"/>
    <w:rsid w:val="00983F38"/>
    <w:rsid w:val="009F2498"/>
    <w:rsid w:val="00A30BFD"/>
    <w:rsid w:val="00A31892"/>
    <w:rsid w:val="00A90C8A"/>
    <w:rsid w:val="00AC18BF"/>
    <w:rsid w:val="00CF5983"/>
    <w:rsid w:val="00D14902"/>
    <w:rsid w:val="00D77CEE"/>
    <w:rsid w:val="00DE1389"/>
    <w:rsid w:val="00E2414F"/>
    <w:rsid w:val="00E61028"/>
    <w:rsid w:val="00EE26FA"/>
    <w:rsid w:val="00EE4894"/>
    <w:rsid w:val="00EF4ACA"/>
    <w:rsid w:val="00F1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1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153"/>
  </w:style>
  <w:style w:type="paragraph" w:styleId="Footer">
    <w:name w:val="footer"/>
    <w:basedOn w:val="Normal"/>
    <w:link w:val="FooterChar"/>
    <w:uiPriority w:val="99"/>
    <w:unhideWhenUsed/>
    <w:rsid w:val="00155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153"/>
  </w:style>
  <w:style w:type="paragraph" w:styleId="ListParagraph">
    <w:name w:val="List Paragraph"/>
    <w:basedOn w:val="Normal"/>
    <w:uiPriority w:val="34"/>
    <w:qFormat/>
    <w:rsid w:val="00E61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1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153"/>
  </w:style>
  <w:style w:type="paragraph" w:styleId="Footer">
    <w:name w:val="footer"/>
    <w:basedOn w:val="Normal"/>
    <w:link w:val="FooterChar"/>
    <w:uiPriority w:val="99"/>
    <w:unhideWhenUsed/>
    <w:rsid w:val="00155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153"/>
  </w:style>
  <w:style w:type="paragraph" w:styleId="ListParagraph">
    <w:name w:val="List Paragraph"/>
    <w:basedOn w:val="Normal"/>
    <w:uiPriority w:val="34"/>
    <w:qFormat/>
    <w:rsid w:val="00E61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9504">
      <w:bodyDiv w:val="1"/>
      <w:marLeft w:val="0"/>
      <w:marRight w:val="0"/>
      <w:marTop w:val="0"/>
      <w:marBottom w:val="0"/>
      <w:divBdr>
        <w:top w:val="none" w:sz="0" w:space="0" w:color="auto"/>
        <w:left w:val="none" w:sz="0" w:space="0" w:color="auto"/>
        <w:bottom w:val="none" w:sz="0" w:space="0" w:color="auto"/>
        <w:right w:val="none" w:sz="0" w:space="0" w:color="auto"/>
      </w:divBdr>
    </w:div>
    <w:div w:id="487987999">
      <w:bodyDiv w:val="1"/>
      <w:marLeft w:val="0"/>
      <w:marRight w:val="0"/>
      <w:marTop w:val="0"/>
      <w:marBottom w:val="0"/>
      <w:divBdr>
        <w:top w:val="none" w:sz="0" w:space="0" w:color="auto"/>
        <w:left w:val="none" w:sz="0" w:space="0" w:color="auto"/>
        <w:bottom w:val="none" w:sz="0" w:space="0" w:color="auto"/>
        <w:right w:val="none" w:sz="0" w:space="0" w:color="auto"/>
      </w:divBdr>
    </w:div>
    <w:div w:id="1090345697">
      <w:bodyDiv w:val="1"/>
      <w:marLeft w:val="0"/>
      <w:marRight w:val="0"/>
      <w:marTop w:val="0"/>
      <w:marBottom w:val="0"/>
      <w:divBdr>
        <w:top w:val="none" w:sz="0" w:space="0" w:color="auto"/>
        <w:left w:val="none" w:sz="0" w:space="0" w:color="auto"/>
        <w:bottom w:val="none" w:sz="0" w:space="0" w:color="auto"/>
        <w:right w:val="none" w:sz="0" w:space="0" w:color="auto"/>
      </w:divBdr>
    </w:div>
    <w:div w:id="1502237351">
      <w:bodyDiv w:val="1"/>
      <w:marLeft w:val="0"/>
      <w:marRight w:val="0"/>
      <w:marTop w:val="0"/>
      <w:marBottom w:val="0"/>
      <w:divBdr>
        <w:top w:val="none" w:sz="0" w:space="0" w:color="auto"/>
        <w:left w:val="none" w:sz="0" w:space="0" w:color="auto"/>
        <w:bottom w:val="none" w:sz="0" w:space="0" w:color="auto"/>
        <w:right w:val="none" w:sz="0" w:space="0" w:color="auto"/>
      </w:divBdr>
    </w:div>
    <w:div w:id="1589919138">
      <w:bodyDiv w:val="1"/>
      <w:marLeft w:val="0"/>
      <w:marRight w:val="0"/>
      <w:marTop w:val="0"/>
      <w:marBottom w:val="0"/>
      <w:divBdr>
        <w:top w:val="none" w:sz="0" w:space="0" w:color="auto"/>
        <w:left w:val="none" w:sz="0" w:space="0" w:color="auto"/>
        <w:bottom w:val="none" w:sz="0" w:space="0" w:color="auto"/>
        <w:right w:val="none" w:sz="0" w:space="0" w:color="auto"/>
      </w:divBdr>
    </w:div>
    <w:div w:id="21042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1505-BF64-4BE4-BCBD-FD01DDD8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Racheal</dc:creator>
  <cp:lastModifiedBy>Ben Mulingoki</cp:lastModifiedBy>
  <cp:revision>2</cp:revision>
  <dcterms:created xsi:type="dcterms:W3CDTF">2015-01-06T08:30:00Z</dcterms:created>
  <dcterms:modified xsi:type="dcterms:W3CDTF">2015-01-06T08:30:00Z</dcterms:modified>
</cp:coreProperties>
</file>